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2FF6" w14:textId="67F3FC0A" w:rsidR="003B5500" w:rsidRPr="003B5500" w:rsidRDefault="003B5500" w:rsidP="003B5500">
      <w:pPr>
        <w:jc w:val="both"/>
        <w:rPr>
          <w:rFonts w:ascii="Aharoni" w:hAnsi="Aharoni" w:cs="Aharoni" w:hint="cs"/>
          <w:b/>
          <w:bCs/>
          <w:color w:val="808080" w:themeColor="background1" w:themeShade="80"/>
          <w:sz w:val="28"/>
          <w:szCs w:val="28"/>
        </w:rPr>
      </w:pPr>
      <w:r w:rsidRPr="003B5500">
        <w:rPr>
          <w:rFonts w:ascii="Aharoni" w:hAnsi="Aharoni" w:cs="Aharoni" w:hint="cs"/>
          <w:b/>
          <w:bCs/>
          <w:color w:val="808080" w:themeColor="background1" w:themeShade="80"/>
          <w:sz w:val="28"/>
          <w:szCs w:val="28"/>
        </w:rPr>
        <w:t>Industrial Policy</w:t>
      </w:r>
      <w:r w:rsidRPr="003B5500">
        <w:rPr>
          <w:rFonts w:ascii="Aharoni" w:hAnsi="Aharoni" w:cs="Aharoni" w:hint="cs"/>
          <w:b/>
          <w:bCs/>
          <w:color w:val="808080" w:themeColor="background1" w:themeShade="80"/>
          <w:sz w:val="28"/>
          <w:szCs w:val="28"/>
        </w:rPr>
        <w:tab/>
      </w:r>
      <w:r>
        <w:rPr>
          <w:rFonts w:ascii="Aharoni" w:hAnsi="Aharoni" w:cs="Aharoni"/>
          <w:b/>
          <w:bCs/>
          <w:color w:val="808080" w:themeColor="background1" w:themeShade="80"/>
          <w:sz w:val="28"/>
          <w:szCs w:val="28"/>
        </w:rPr>
        <w:tab/>
      </w:r>
      <w:r>
        <w:rPr>
          <w:rFonts w:ascii="Aharoni" w:hAnsi="Aharoni" w:cs="Aharoni"/>
          <w:b/>
          <w:bCs/>
          <w:color w:val="808080" w:themeColor="background1" w:themeShade="80"/>
          <w:sz w:val="28"/>
          <w:szCs w:val="28"/>
        </w:rPr>
        <w:tab/>
      </w:r>
      <w:r w:rsidRPr="003B5500">
        <w:rPr>
          <w:rFonts w:ascii="Aharoni" w:hAnsi="Aharoni" w:cs="Aharoni" w:hint="cs"/>
          <w:b/>
          <w:bCs/>
          <w:color w:val="808080" w:themeColor="background1" w:themeShade="80"/>
          <w:sz w:val="28"/>
          <w:szCs w:val="28"/>
        </w:rPr>
        <w:t>John Foster</w:t>
      </w:r>
    </w:p>
    <w:p w14:paraId="6290DC46" w14:textId="647301DC" w:rsidR="00126992" w:rsidRPr="003B5500" w:rsidRDefault="00353147" w:rsidP="003B5500">
      <w:pPr>
        <w:jc w:val="both"/>
        <w:rPr>
          <w:rFonts w:ascii="Times New Roman" w:hAnsi="Times New Roman" w:cs="Times New Roman"/>
          <w:b/>
          <w:bCs/>
          <w:sz w:val="24"/>
          <w:szCs w:val="24"/>
        </w:rPr>
      </w:pPr>
      <w:r w:rsidRPr="003B5500">
        <w:rPr>
          <w:rFonts w:ascii="Times New Roman" w:hAnsi="Times New Roman" w:cs="Times New Roman"/>
          <w:b/>
          <w:bCs/>
          <w:sz w:val="24"/>
          <w:szCs w:val="24"/>
        </w:rPr>
        <w:t>Procurement and Supporting Industry</w:t>
      </w:r>
    </w:p>
    <w:p w14:paraId="540CA736" w14:textId="0582B439" w:rsidR="003B5500" w:rsidRPr="003B5500" w:rsidRDefault="002E530F" w:rsidP="003B5500">
      <w:pPr>
        <w:jc w:val="both"/>
        <w:rPr>
          <w:rFonts w:ascii="Times New Roman" w:hAnsi="Times New Roman" w:cs="Times New Roman"/>
          <w:sz w:val="24"/>
          <w:szCs w:val="24"/>
        </w:rPr>
      </w:pPr>
      <w:r w:rsidRPr="003B5500">
        <w:rPr>
          <w:rFonts w:ascii="Times New Roman" w:hAnsi="Times New Roman" w:cs="Times New Roman"/>
          <w:sz w:val="24"/>
          <w:szCs w:val="24"/>
        </w:rPr>
        <w:t>The legislative framework governing</w:t>
      </w:r>
      <w:r w:rsidR="001E43E6" w:rsidRPr="003B5500">
        <w:rPr>
          <w:rFonts w:ascii="Times New Roman" w:hAnsi="Times New Roman" w:cs="Times New Roman"/>
          <w:sz w:val="24"/>
          <w:szCs w:val="24"/>
        </w:rPr>
        <w:t xml:space="preserve"> Britain’s</w:t>
      </w:r>
      <w:r w:rsidRPr="003B5500">
        <w:rPr>
          <w:rFonts w:ascii="Times New Roman" w:hAnsi="Times New Roman" w:cs="Times New Roman"/>
          <w:sz w:val="24"/>
          <w:szCs w:val="24"/>
        </w:rPr>
        <w:t xml:space="preserve"> industrial policy is currently </w:t>
      </w:r>
      <w:r w:rsidR="001E43E6" w:rsidRPr="003B5500">
        <w:rPr>
          <w:rFonts w:ascii="Times New Roman" w:hAnsi="Times New Roman" w:cs="Times New Roman"/>
          <w:sz w:val="24"/>
          <w:szCs w:val="24"/>
        </w:rPr>
        <w:t xml:space="preserve">undergoing radical </w:t>
      </w:r>
      <w:r w:rsidR="00875155" w:rsidRPr="003B5500">
        <w:rPr>
          <w:rFonts w:ascii="Times New Roman" w:hAnsi="Times New Roman" w:cs="Times New Roman"/>
          <w:sz w:val="24"/>
          <w:szCs w:val="24"/>
        </w:rPr>
        <w:t>change</w:t>
      </w:r>
      <w:r w:rsidR="001E43E6" w:rsidRPr="003B5500">
        <w:rPr>
          <w:rFonts w:ascii="Times New Roman" w:hAnsi="Times New Roman" w:cs="Times New Roman"/>
          <w:sz w:val="24"/>
          <w:szCs w:val="24"/>
        </w:rPr>
        <w:t>.</w:t>
      </w:r>
      <w:r w:rsidRPr="003B5500">
        <w:rPr>
          <w:rFonts w:ascii="Times New Roman" w:hAnsi="Times New Roman" w:cs="Times New Roman"/>
          <w:sz w:val="24"/>
          <w:szCs w:val="24"/>
        </w:rPr>
        <w:t xml:space="preserve"> </w:t>
      </w:r>
      <w:r w:rsidR="001E43E6" w:rsidRPr="003B5500">
        <w:rPr>
          <w:rFonts w:ascii="Times New Roman" w:hAnsi="Times New Roman" w:cs="Times New Roman"/>
          <w:sz w:val="24"/>
          <w:szCs w:val="24"/>
        </w:rPr>
        <w:t>A</w:t>
      </w:r>
      <w:r w:rsidRPr="003B5500">
        <w:rPr>
          <w:rFonts w:ascii="Times New Roman" w:hAnsi="Times New Roman" w:cs="Times New Roman"/>
          <w:sz w:val="24"/>
          <w:szCs w:val="24"/>
        </w:rPr>
        <w:t xml:space="preserve"> Subsidies Control Bill was laid before parliament in summer 2021</w:t>
      </w:r>
      <w:r w:rsidR="00494211" w:rsidRPr="003B5500">
        <w:rPr>
          <w:rFonts w:ascii="Times New Roman" w:hAnsi="Times New Roman" w:cs="Times New Roman"/>
          <w:sz w:val="24"/>
          <w:szCs w:val="24"/>
        </w:rPr>
        <w:t xml:space="preserve"> and, as amended, </w:t>
      </w:r>
      <w:r w:rsidR="00C6572C" w:rsidRPr="003B5500">
        <w:rPr>
          <w:rFonts w:ascii="Times New Roman" w:hAnsi="Times New Roman" w:cs="Times New Roman"/>
          <w:sz w:val="24"/>
          <w:szCs w:val="24"/>
        </w:rPr>
        <w:t>will</w:t>
      </w:r>
      <w:r w:rsidR="00E94D49" w:rsidRPr="003B5500">
        <w:rPr>
          <w:rFonts w:ascii="Times New Roman" w:hAnsi="Times New Roman" w:cs="Times New Roman"/>
          <w:sz w:val="24"/>
          <w:szCs w:val="24"/>
        </w:rPr>
        <w:t xml:space="preserve"> </w:t>
      </w:r>
      <w:r w:rsidR="00494211" w:rsidRPr="003B5500">
        <w:rPr>
          <w:rFonts w:ascii="Times New Roman" w:hAnsi="Times New Roman" w:cs="Times New Roman"/>
          <w:sz w:val="24"/>
          <w:szCs w:val="24"/>
        </w:rPr>
        <w:t>become law later this year</w:t>
      </w:r>
      <w:r w:rsidRPr="003B5500">
        <w:rPr>
          <w:rFonts w:ascii="Times New Roman" w:hAnsi="Times New Roman" w:cs="Times New Roman"/>
          <w:sz w:val="24"/>
          <w:szCs w:val="24"/>
        </w:rPr>
        <w:t>.</w:t>
      </w:r>
      <w:r w:rsidR="003B5500" w:rsidRPr="003B5500">
        <w:rPr>
          <w:rStyle w:val="EndnoteReference"/>
          <w:rFonts w:ascii="Times New Roman" w:hAnsi="Times New Roman" w:cs="Times New Roman"/>
          <w:sz w:val="24"/>
          <w:szCs w:val="24"/>
        </w:rPr>
        <w:endnoteReference w:id="1"/>
      </w:r>
      <w:r w:rsidR="003B5500" w:rsidRPr="003B5500">
        <w:rPr>
          <w:rFonts w:ascii="Times New Roman" w:hAnsi="Times New Roman" w:cs="Times New Roman"/>
          <w:sz w:val="24"/>
          <w:szCs w:val="24"/>
        </w:rPr>
        <w:t xml:space="preserve">  A Green Paper on public procurement was issued in March 2021 and a Bill will go before parliament in the autumn.</w:t>
      </w:r>
      <w:r w:rsidR="003B5500" w:rsidRPr="003B5500">
        <w:rPr>
          <w:rStyle w:val="EndnoteReference"/>
          <w:rFonts w:ascii="Times New Roman" w:hAnsi="Times New Roman" w:cs="Times New Roman"/>
          <w:sz w:val="24"/>
          <w:szCs w:val="24"/>
        </w:rPr>
        <w:endnoteReference w:id="2"/>
      </w:r>
      <w:r w:rsidR="003B5500" w:rsidRPr="003B5500">
        <w:rPr>
          <w:rFonts w:ascii="Times New Roman" w:hAnsi="Times New Roman" w:cs="Times New Roman"/>
          <w:sz w:val="24"/>
          <w:szCs w:val="24"/>
        </w:rPr>
        <w:t xml:space="preserve"> Both will operate, in general, within the terms of the Trade and Competition Agreement (TCA) signed with the EU in December 2020 and the WTO’s Government Procurement Agreement (GPA).  This GPA agreement was renegotiated by Britain in 2020 and came into force in January 2021. In terms of current policy interventions, the Chancellor announced in March 2021 a two-year Corporation Tax holiday for larger companies in return for enhanced industrial investment.  Over the past six months the prime minister has also launched a series of ‘levelling up’ initiatives costing a further £20 billion.  A legislative framework for this new ‘Levelling Up’ programme will be presented in a White Paper in autumn 2021- replacing, it would seem, the 2017 Industrial Strategy that was scrapped earlier this year.  Almost </w:t>
      </w:r>
      <w:proofErr w:type="gramStart"/>
      <w:r w:rsidR="003B5500" w:rsidRPr="003B5500">
        <w:rPr>
          <w:rFonts w:ascii="Times New Roman" w:hAnsi="Times New Roman" w:cs="Times New Roman"/>
          <w:sz w:val="24"/>
          <w:szCs w:val="24"/>
        </w:rPr>
        <w:t>all of</w:t>
      </w:r>
      <w:proofErr w:type="gramEnd"/>
      <w:r w:rsidR="003B5500" w:rsidRPr="003B5500">
        <w:rPr>
          <w:rFonts w:ascii="Times New Roman" w:hAnsi="Times New Roman" w:cs="Times New Roman"/>
          <w:sz w:val="24"/>
          <w:szCs w:val="24"/>
        </w:rPr>
        <w:t xml:space="preserve"> the new legislation will impact directly or indirectly on industrial policy in Scotland.  </w:t>
      </w:r>
    </w:p>
    <w:p w14:paraId="6FECD806" w14:textId="4913A267"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This emerging policy framework, partly new, partly embedding pre-existing EU regulations into British law, therefore poses </w:t>
      </w:r>
      <w:proofErr w:type="gramStart"/>
      <w:r w:rsidRPr="003B5500">
        <w:rPr>
          <w:rFonts w:ascii="Times New Roman" w:hAnsi="Times New Roman" w:cs="Times New Roman"/>
          <w:sz w:val="24"/>
          <w:szCs w:val="24"/>
        </w:rPr>
        <w:t>a number of</w:t>
      </w:r>
      <w:proofErr w:type="gramEnd"/>
      <w:r w:rsidRPr="003B5500">
        <w:rPr>
          <w:rFonts w:ascii="Times New Roman" w:hAnsi="Times New Roman" w:cs="Times New Roman"/>
          <w:sz w:val="24"/>
          <w:szCs w:val="24"/>
        </w:rPr>
        <w:t xml:space="preserve"> critical questions for Scotland’s trade union and labour movement.  The first two questions relate specifically to Scotland.</w:t>
      </w:r>
    </w:p>
    <w:p w14:paraId="1EE795AE" w14:textId="6D598C6E"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One is how </w:t>
      </w:r>
      <w:proofErr w:type="gramStart"/>
      <w:r w:rsidRPr="003B5500">
        <w:rPr>
          <w:rFonts w:ascii="Times New Roman" w:hAnsi="Times New Roman" w:cs="Times New Roman"/>
          <w:sz w:val="24"/>
          <w:szCs w:val="24"/>
        </w:rPr>
        <w:t>far</w:t>
      </w:r>
      <w:proofErr w:type="gramEnd"/>
      <w:r w:rsidRPr="003B5500">
        <w:rPr>
          <w:rFonts w:ascii="Times New Roman" w:hAnsi="Times New Roman" w:cs="Times New Roman"/>
          <w:sz w:val="24"/>
          <w:szCs w:val="24"/>
        </w:rPr>
        <w:t xml:space="preserve"> the new legislative framework denies the Scottish parliament powers over industrial policy conferred by the 1998 Scottish Parliament Act.  Even though EU rules on state aid and competitive tendering largely nullified these powers over the past two decades, such powers remain critical for the future. In the past they would have enabled, if supported politically in Scotland, the rescue of many endangered firms, large and small, and ensured that key industries like steel, electronics and motor manufacturing survived – both through government aid, and if </w:t>
      </w:r>
      <w:proofErr w:type="gramStart"/>
      <w:r w:rsidRPr="003B5500">
        <w:rPr>
          <w:rFonts w:ascii="Times New Roman" w:hAnsi="Times New Roman" w:cs="Times New Roman"/>
          <w:sz w:val="24"/>
          <w:szCs w:val="24"/>
        </w:rPr>
        <w:t>necessary</w:t>
      </w:r>
      <w:proofErr w:type="gramEnd"/>
      <w:r w:rsidRPr="003B5500">
        <w:rPr>
          <w:rFonts w:ascii="Times New Roman" w:hAnsi="Times New Roman" w:cs="Times New Roman"/>
          <w:sz w:val="24"/>
          <w:szCs w:val="24"/>
        </w:rPr>
        <w:t xml:space="preserve"> ownership, and also the insistence that major infrastructure projects, like the new Forth road crossing, used Scottish steel or that trains in Scotland were serviced and maintained in Scotland.</w:t>
      </w:r>
    </w:p>
    <w:p w14:paraId="368F36D9" w14:textId="77777777"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The second is how far, if there are new or restored powers of industrial intervention (and there appear at least on paper to be some), the Scottish parliament will have the resources, in terms of income and borrowing powers, to use them.  This now looks very doubtful and, as we will see, will not be accidental. </w:t>
      </w:r>
    </w:p>
    <w:p w14:paraId="0C9632AD" w14:textId="35C9A8FA"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The third is a more general question.  It is about the state of the British economy and the </w:t>
      </w:r>
      <w:r w:rsidRPr="003B5500">
        <w:rPr>
          <w:rFonts w:ascii="Times New Roman" w:hAnsi="Times New Roman" w:cs="Times New Roman"/>
          <w:i/>
          <w:iCs/>
          <w:sz w:val="24"/>
          <w:szCs w:val="24"/>
        </w:rPr>
        <w:t>kind</w:t>
      </w:r>
      <w:r w:rsidRPr="003B5500">
        <w:rPr>
          <w:rFonts w:ascii="Times New Roman" w:hAnsi="Times New Roman" w:cs="Times New Roman"/>
          <w:sz w:val="24"/>
          <w:szCs w:val="24"/>
        </w:rPr>
        <w:t xml:space="preserve"> of industrial policy that is now, in a period of intense financialised monopolisation, required to sustain economic development – and, hence, how far the policy interventions so far announced by the Westminster government will match those needs.</w:t>
      </w:r>
    </w:p>
    <w:p w14:paraId="224F6280" w14:textId="3653A187" w:rsidR="003B5500" w:rsidRPr="003B5500" w:rsidRDefault="003B5500" w:rsidP="003B5500">
      <w:pPr>
        <w:pStyle w:val="ListParagraph"/>
        <w:numPr>
          <w:ilvl w:val="0"/>
          <w:numId w:val="1"/>
        </w:numPr>
        <w:jc w:val="both"/>
        <w:rPr>
          <w:rFonts w:ascii="Times New Roman" w:hAnsi="Times New Roman" w:cs="Times New Roman"/>
          <w:b/>
          <w:bCs/>
          <w:sz w:val="24"/>
          <w:szCs w:val="24"/>
        </w:rPr>
      </w:pPr>
      <w:r w:rsidRPr="003B5500">
        <w:rPr>
          <w:rFonts w:ascii="Times New Roman" w:hAnsi="Times New Roman" w:cs="Times New Roman"/>
          <w:b/>
          <w:bCs/>
          <w:sz w:val="24"/>
          <w:szCs w:val="24"/>
        </w:rPr>
        <w:t>The policy perspectives of Johnson and the Westminster government</w:t>
      </w:r>
    </w:p>
    <w:p w14:paraId="0E575871" w14:textId="326C0F23"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We will start with these policy perspectives as outlined by Boris Johnson on 15 July 2021.</w:t>
      </w:r>
    </w:p>
    <w:p w14:paraId="1CAE1B79" w14:textId="49A785B4"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In what was a populist and very political speech Johnson committed the government to a range of economic and industrial interventions to ‘level up’ what the prime minister described as the dramatic differences in life chance and wealth across Britain.  It sought to dispel any belief that these differences were on a purely north-south basis and therefore that </w:t>
      </w:r>
      <w:r w:rsidRPr="003B5500">
        <w:rPr>
          <w:rFonts w:ascii="Times New Roman" w:hAnsi="Times New Roman" w:cs="Times New Roman"/>
          <w:sz w:val="24"/>
          <w:szCs w:val="24"/>
        </w:rPr>
        <w:lastRenderedPageBreak/>
        <w:t>any levelling up should be from ‘south to north’.  Disparities existed everywhere.  But Johnson did commit the government to a new level of industrial intervention. This covered both immediate actions to support economic development and a commitment to extend local powers with more elected mayors at both city and ‘county’ level. It was predictably made clear that both these immediate interventions would be on private sector terms. There would be no ‘municipal socialism’ or any return to the 1980s-type policies of the Greater London Council.  Regeneration would be via the private sector. The job of the new mayors would be to go out and woo the big multinationals.</w:t>
      </w:r>
    </w:p>
    <w:p w14:paraId="096E4622" w14:textId="3888490D"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There was, however, a key additional feature in Johnson’s speech.  It was about developing direct partnerships between the Westminster government and local communities. The new town and county mayors, and existing councils and local communities, must directly ‘buy-into’ and help mould the new developments in dialogue with London – by-passing, in Scotland and Wales, devolved administrations. This, it seems, will be the case with the ‘Build Back Better’ scheme that directs £4.8 billion to local authorities for projects designed to create business-attractive environments. It will equally be so with the £5 billion ‘Restart’ for high streets, some university research programmes and other funding streams for regional development previously routed via the European Union.  </w:t>
      </w:r>
    </w:p>
    <w:p w14:paraId="33F3B526" w14:textId="448909D3" w:rsidR="003B5500" w:rsidRPr="003B5500" w:rsidRDefault="003B5500" w:rsidP="003B5500">
      <w:pPr>
        <w:pStyle w:val="ListParagraph"/>
        <w:numPr>
          <w:ilvl w:val="0"/>
          <w:numId w:val="1"/>
        </w:numPr>
        <w:jc w:val="both"/>
        <w:rPr>
          <w:rFonts w:ascii="Times New Roman" w:hAnsi="Times New Roman" w:cs="Times New Roman"/>
          <w:b/>
          <w:bCs/>
          <w:sz w:val="24"/>
          <w:szCs w:val="24"/>
        </w:rPr>
      </w:pPr>
      <w:r w:rsidRPr="003B5500">
        <w:rPr>
          <w:rFonts w:ascii="Times New Roman" w:hAnsi="Times New Roman" w:cs="Times New Roman"/>
          <w:b/>
          <w:bCs/>
          <w:sz w:val="24"/>
          <w:szCs w:val="24"/>
        </w:rPr>
        <w:t>The investment deficit</w:t>
      </w:r>
    </w:p>
    <w:p w14:paraId="56529514" w14:textId="3FD84064"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The political objectives are obvious.  On the one hand, they are tactical: to sustain support in the ‘Red Wall’ Tory seats in the north without alienating Tory voters in the south.  On the other, they are also strategic in terms of Johnson’s populist ideology: to defend the ‘Union’ by building direct governmental links, bypassing Holyrood and Cardiff, with local councils and communities in Scotland and Wales and creating new bonds of economic dependency with ‘British’ level companies.</w:t>
      </w:r>
      <w:r w:rsidRPr="003B5500">
        <w:rPr>
          <w:rStyle w:val="EndnoteReference"/>
          <w:rFonts w:ascii="Times New Roman" w:hAnsi="Times New Roman" w:cs="Times New Roman"/>
          <w:sz w:val="24"/>
          <w:szCs w:val="24"/>
        </w:rPr>
        <w:endnoteReference w:id="3"/>
      </w:r>
    </w:p>
    <w:p w14:paraId="151B4CF7" w14:textId="5F67420D"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How far, then, will these interventions match the developmental needs of the British economy and more specifically those of Scotland?</w:t>
      </w:r>
    </w:p>
    <w:p w14:paraId="6EDDDD54" w14:textId="0AA53457"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Large sums of public money are involved.  The Chancellor’s corporation tax rebate, with an additional 30 percent grant for every pound invested in equipment and R&amp;D, will cost £20 billion over two years.  Of the other initiatives so far costed, the ‘ten-point plan’ for a ‘green revolution’ will be funded by £15 billion. Combined, the ‘Build Back Better’ and High Street ‘Restart’ will cost £10 billion. Another £20 billion is earmarked for direct grants to business.  This funding presumably includes the grants for electric car battery production at Speke and Tyneside and the carbon storage hubs in the North Sea.  The </w:t>
      </w:r>
      <w:proofErr w:type="spellStart"/>
      <w:r w:rsidRPr="003B5500">
        <w:rPr>
          <w:rFonts w:ascii="Times New Roman" w:hAnsi="Times New Roman" w:cs="Times New Roman"/>
          <w:sz w:val="24"/>
          <w:szCs w:val="24"/>
        </w:rPr>
        <w:t>FreePort</w:t>
      </w:r>
      <w:proofErr w:type="spellEnd"/>
      <w:r w:rsidRPr="003B5500">
        <w:rPr>
          <w:rFonts w:ascii="Times New Roman" w:hAnsi="Times New Roman" w:cs="Times New Roman"/>
          <w:sz w:val="24"/>
          <w:szCs w:val="24"/>
        </w:rPr>
        <w:t xml:space="preserve"> scheme across England and Wales (only two are </w:t>
      </w:r>
      <w:proofErr w:type="gramStart"/>
      <w:r w:rsidRPr="003B5500">
        <w:rPr>
          <w:rFonts w:ascii="Times New Roman" w:hAnsi="Times New Roman" w:cs="Times New Roman"/>
          <w:sz w:val="24"/>
          <w:szCs w:val="24"/>
        </w:rPr>
        <w:t>actually sited</w:t>
      </w:r>
      <w:proofErr w:type="gramEnd"/>
      <w:r w:rsidRPr="003B5500">
        <w:rPr>
          <w:rFonts w:ascii="Times New Roman" w:hAnsi="Times New Roman" w:cs="Times New Roman"/>
          <w:sz w:val="24"/>
          <w:szCs w:val="24"/>
        </w:rPr>
        <w:t xml:space="preserve"> in the North) has not yet been costed but Freeports appear to be mainly based on the removal of controls over planning and employment and the waiving of import-export charges.</w:t>
      </w:r>
      <w:r w:rsidRPr="003B5500">
        <w:rPr>
          <w:rStyle w:val="EndnoteReference"/>
          <w:rFonts w:ascii="Times New Roman" w:hAnsi="Times New Roman" w:cs="Times New Roman"/>
          <w:sz w:val="24"/>
          <w:szCs w:val="24"/>
        </w:rPr>
        <w:endnoteReference w:id="4"/>
      </w:r>
      <w:r w:rsidRPr="003B5500">
        <w:rPr>
          <w:rFonts w:ascii="Times New Roman" w:hAnsi="Times New Roman" w:cs="Times New Roman"/>
          <w:sz w:val="24"/>
          <w:szCs w:val="24"/>
        </w:rPr>
        <w:t xml:space="preserve"> Additionally, there are a number of smaller funds.  The Future Fund Breakthrough has £375m to promote new business projects in life sciences, quantum computing and clean tech.  ‘Community ownership’ is allocated £150m. Traineeships get £125m.  In all this amounts to around £65 billion over two years. </w:t>
      </w:r>
    </w:p>
    <w:p w14:paraId="4CDC4B83" w14:textId="175DCDC2"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To what extent, therefore, does this £65 billion measure up to the challenges currently posed for Britain’s economy?  Two figures are relevant. The first is the most recent OECD report which shows that over the past two years Britain has seen the biggest fall in capital investment of all developed countries.  Between the last quarter of 2019 and the first quarter </w:t>
      </w:r>
      <w:r w:rsidRPr="003B5500">
        <w:rPr>
          <w:rFonts w:ascii="Times New Roman" w:hAnsi="Times New Roman" w:cs="Times New Roman"/>
          <w:sz w:val="24"/>
          <w:szCs w:val="24"/>
        </w:rPr>
        <w:lastRenderedPageBreak/>
        <w:t xml:space="preserve">of 2021 capital expenditure fell by 2 per cent of GDP.  In the US it rose by 2 percent. In France and Germany it has remained stable.  Redressing a 2 per cent fall GDP equivalent in capital spend would cost around £40 </w:t>
      </w:r>
      <w:proofErr w:type="gramStart"/>
      <w:r w:rsidRPr="003B5500">
        <w:rPr>
          <w:rFonts w:ascii="Times New Roman" w:hAnsi="Times New Roman" w:cs="Times New Roman"/>
          <w:sz w:val="24"/>
          <w:szCs w:val="24"/>
        </w:rPr>
        <w:t>billion;</w:t>
      </w:r>
      <w:proofErr w:type="gramEnd"/>
      <w:r w:rsidRPr="003B5500">
        <w:rPr>
          <w:rFonts w:ascii="Times New Roman" w:hAnsi="Times New Roman" w:cs="Times New Roman"/>
          <w:sz w:val="24"/>
          <w:szCs w:val="24"/>
        </w:rPr>
        <w:t xml:space="preserve"> matching the US another £40 billion.  The second comparison is for overall spending: that is, the absolute proportion of GDP invested in capital equipment and R&amp;D.  Britain’s proportion has for recent years been around 16 per cent of GDP.  The OECD average is around 20 per cent.  In absolute terms Britain therefore spends about £90B less a year than the average.</w:t>
      </w:r>
      <w:r w:rsidRPr="003B5500">
        <w:rPr>
          <w:rStyle w:val="EndnoteReference"/>
          <w:rFonts w:ascii="Times New Roman" w:hAnsi="Times New Roman" w:cs="Times New Roman"/>
          <w:sz w:val="24"/>
          <w:szCs w:val="24"/>
        </w:rPr>
        <w:endnoteReference w:id="5"/>
      </w:r>
      <w:r w:rsidRPr="003B5500">
        <w:rPr>
          <w:rFonts w:ascii="Times New Roman" w:hAnsi="Times New Roman" w:cs="Times New Roman"/>
          <w:sz w:val="24"/>
          <w:szCs w:val="24"/>
        </w:rPr>
        <w:t xml:space="preserve"> </w:t>
      </w:r>
    </w:p>
    <w:p w14:paraId="16B3A367" w14:textId="61E944A0"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The Johnson government’s rhetoric appears to show a realisation of the magnitude of this gap – but its own committed expenditure comes nowhere near to matching it.  Its answer would doubtless be that it is not meant to.  Its purpose is to lever-in the higher levels of investment needed from the private sector. </w:t>
      </w:r>
    </w:p>
    <w:p w14:paraId="1001880E" w14:textId="6FD63657"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Before going on to consider the potential industrial powers of the Scottish parliament, it is therefore important to look at the wider economic outlook for Britain as a whole, why Britain’s investment deficit is, historically, so big and whether, against this background, whether a proportionate buy-in by the private sector is likely.</w:t>
      </w:r>
    </w:p>
    <w:p w14:paraId="0AD94B34" w14:textId="04FADA48" w:rsidR="003B5500" w:rsidRPr="003B5500" w:rsidRDefault="003B5500" w:rsidP="003B5500">
      <w:pPr>
        <w:pStyle w:val="ListParagraph"/>
        <w:numPr>
          <w:ilvl w:val="0"/>
          <w:numId w:val="1"/>
        </w:numPr>
        <w:jc w:val="both"/>
        <w:rPr>
          <w:rFonts w:ascii="Times New Roman" w:hAnsi="Times New Roman" w:cs="Times New Roman"/>
          <w:b/>
          <w:bCs/>
          <w:sz w:val="24"/>
          <w:szCs w:val="24"/>
        </w:rPr>
      </w:pPr>
      <w:r w:rsidRPr="003B5500">
        <w:rPr>
          <w:rFonts w:ascii="Times New Roman" w:hAnsi="Times New Roman" w:cs="Times New Roman"/>
          <w:b/>
          <w:bCs/>
          <w:sz w:val="24"/>
          <w:szCs w:val="24"/>
        </w:rPr>
        <w:t>The outlook for Britain’s internationally weak and financialised economy</w:t>
      </w:r>
    </w:p>
    <w:p w14:paraId="0D6AD6AC" w14:textId="01A6F086"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Covid, US global politics and the growing impact of climate change are currently transforming the international environment. Even before the onset of Covid, the UN World Investment Report documented a sharp reversal of the trend to investment in emerging economies, previously the major driver of global growth.  Since then there has been a major disruption of global supply chains and financial crises spreading from Brazil to India, across Africa and the Middle East. Apart from China, global recovery is likely to be slow and very uneven.</w:t>
      </w:r>
      <w:r w:rsidRPr="003B5500">
        <w:rPr>
          <w:rStyle w:val="EndnoteReference"/>
          <w:rFonts w:ascii="Times New Roman" w:hAnsi="Times New Roman" w:cs="Times New Roman"/>
          <w:sz w:val="24"/>
          <w:szCs w:val="24"/>
        </w:rPr>
        <w:endnoteReference w:id="6"/>
      </w:r>
    </w:p>
    <w:p w14:paraId="6D6A2FF2" w14:textId="37B1715A"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Britain itself comes out of the crisis with an additional £400 billion of debt, bringing the total to near 100 percent of GDP, the highest peacetime debt to date. Additionally, the unprecedented expansion of credit, combined with global supply constraints, is likely to trigger significant inflationary pressures for the first time this century. For Johnson’s ‘Global Britain’ this is a particularly dangerous combination.  Johnson’s central objective, and that of the City, remains that of sustaining London as a global banking hub, one that combines a stable currency with relaxed regulations, higher leverage and higher returns for international wealth holders.</w:t>
      </w:r>
      <w:r w:rsidRPr="003B5500">
        <w:rPr>
          <w:rStyle w:val="EndnoteReference"/>
          <w:rFonts w:ascii="Times New Roman" w:hAnsi="Times New Roman" w:cs="Times New Roman"/>
          <w:sz w:val="24"/>
          <w:szCs w:val="24"/>
        </w:rPr>
        <w:endnoteReference w:id="7"/>
      </w:r>
      <w:r w:rsidRPr="003B5500">
        <w:rPr>
          <w:rFonts w:ascii="Times New Roman" w:hAnsi="Times New Roman" w:cs="Times New Roman"/>
          <w:sz w:val="24"/>
          <w:szCs w:val="24"/>
        </w:rPr>
        <w:t xml:space="preserve">  Already in the summer of 2021 the Chancellor of the Exchequer and the Bank of England were stressing the urgent need to pay down national debt and cut current expenditure </w:t>
      </w:r>
      <w:proofErr w:type="gramStart"/>
      <w:r w:rsidRPr="003B5500">
        <w:rPr>
          <w:rFonts w:ascii="Times New Roman" w:hAnsi="Times New Roman" w:cs="Times New Roman"/>
          <w:sz w:val="24"/>
          <w:szCs w:val="24"/>
        </w:rPr>
        <w:t>in order to</w:t>
      </w:r>
      <w:proofErr w:type="gramEnd"/>
      <w:r w:rsidRPr="003B5500">
        <w:rPr>
          <w:rFonts w:ascii="Times New Roman" w:hAnsi="Times New Roman" w:cs="Times New Roman"/>
          <w:sz w:val="24"/>
          <w:szCs w:val="24"/>
        </w:rPr>
        <w:t xml:space="preserve"> protect sterling.  </w:t>
      </w:r>
    </w:p>
    <w:p w14:paraId="08EBDD1E" w14:textId="77777777"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Whether or not the government does so directly, and whether the Bank increases interest rates, inflation will itself enforce real cuts in both public spending and household consumption. </w:t>
      </w:r>
    </w:p>
    <w:p w14:paraId="0A897BF9" w14:textId="2C349E5A"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This will be the context for industrial policy in Britain and Scotland for the coming period and any moves to reverse Britain’s very low and decreasing levels of domestic industrial investment.  </w:t>
      </w:r>
    </w:p>
    <w:p w14:paraId="0D350671" w14:textId="57803502"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Previous editions of the Red Paper have detailed some of the reasons for the very low levels of industrial investment.  The 2019 OECD report on industrial investment confirms this analysis in some detail.  It attributes the decline to the financialisation of company ownership, </w:t>
      </w:r>
      <w:r w:rsidRPr="003B5500">
        <w:rPr>
          <w:rFonts w:ascii="Times New Roman" w:hAnsi="Times New Roman" w:cs="Times New Roman"/>
          <w:sz w:val="24"/>
          <w:szCs w:val="24"/>
        </w:rPr>
        <w:lastRenderedPageBreak/>
        <w:t>a general trend across the advanced capitalist world but one most pronounced in Britain.</w:t>
      </w:r>
      <w:r w:rsidRPr="003B5500">
        <w:rPr>
          <w:rStyle w:val="EndnoteReference"/>
          <w:rFonts w:ascii="Times New Roman" w:hAnsi="Times New Roman" w:cs="Times New Roman"/>
          <w:sz w:val="24"/>
          <w:szCs w:val="24"/>
        </w:rPr>
        <w:endnoteReference w:id="8"/>
      </w:r>
      <w:r w:rsidRPr="003B5500">
        <w:rPr>
          <w:rFonts w:ascii="Times New Roman" w:hAnsi="Times New Roman" w:cs="Times New Roman"/>
          <w:sz w:val="24"/>
          <w:szCs w:val="24"/>
        </w:rPr>
        <w:t xml:space="preserve">  Dominant blocks of shares in public companies are now typically owned by four or five finance companies that have themselves, </w:t>
      </w:r>
      <w:proofErr w:type="gramStart"/>
      <w:r w:rsidRPr="003B5500">
        <w:rPr>
          <w:rFonts w:ascii="Times New Roman" w:hAnsi="Times New Roman" w:cs="Times New Roman"/>
          <w:sz w:val="24"/>
          <w:szCs w:val="24"/>
        </w:rPr>
        <w:t>in order to</w:t>
      </w:r>
      <w:proofErr w:type="gramEnd"/>
      <w:r w:rsidRPr="003B5500">
        <w:rPr>
          <w:rFonts w:ascii="Times New Roman" w:hAnsi="Times New Roman" w:cs="Times New Roman"/>
          <w:sz w:val="24"/>
          <w:szCs w:val="24"/>
        </w:rPr>
        <w:t xml:space="preserve"> maintain their investment streams, to ensure maximum short-term returns to their investors. The result has been an accelerating trend to privilege the payment of dividends, and share buy-backs, over investment. </w:t>
      </w:r>
    </w:p>
    <w:p w14:paraId="19BAE3DD" w14:textId="2137D361"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Over the past two years this financialisation of company ownership has been further heightened by the asset inflation resulting from Covid credit policies in Europe, Britain and the US - accelerating the redistribution of wealth in favour of the very wealthy and further boosting the funds held by wealth managers.</w:t>
      </w:r>
      <w:r w:rsidRPr="003B5500">
        <w:rPr>
          <w:rStyle w:val="EndnoteReference"/>
          <w:rFonts w:ascii="Times New Roman" w:hAnsi="Times New Roman" w:cs="Times New Roman"/>
          <w:sz w:val="24"/>
          <w:szCs w:val="24"/>
        </w:rPr>
        <w:endnoteReference w:id="9"/>
      </w:r>
      <w:r w:rsidRPr="003B5500">
        <w:rPr>
          <w:rFonts w:ascii="Times New Roman" w:hAnsi="Times New Roman" w:cs="Times New Roman"/>
          <w:sz w:val="24"/>
          <w:szCs w:val="24"/>
        </w:rPr>
        <w:t xml:space="preserve">  </w:t>
      </w:r>
    </w:p>
    <w:p w14:paraId="4FB9F16F" w14:textId="5D9CAF8B" w:rsidR="003B5500" w:rsidRPr="003B5500" w:rsidRDefault="003B5500" w:rsidP="003B5500">
      <w:pPr>
        <w:jc w:val="both"/>
        <w:rPr>
          <w:rFonts w:ascii="Times New Roman" w:hAnsi="Times New Roman" w:cs="Times New Roman"/>
          <w:sz w:val="24"/>
          <w:szCs w:val="24"/>
        </w:rPr>
      </w:pPr>
      <w:r w:rsidRPr="003B5500">
        <w:rPr>
          <w:rFonts w:ascii="Times New Roman" w:hAnsi="Times New Roman" w:cs="Times New Roman"/>
          <w:sz w:val="24"/>
          <w:szCs w:val="24"/>
        </w:rPr>
        <w:t xml:space="preserve">It is against this background that the interventionist industrial policies of the Johnson government have been developed: an understanding that industrial investment will, in Britain, remain critically low unless the state intervenes on a new scale.  The big question is whether these new interventionist policies will be sufficient to override the demands imposed by the financial sector. </w:t>
      </w:r>
    </w:p>
    <w:p w14:paraId="3E6ECCF8" w14:textId="52D85176" w:rsidR="003B5500" w:rsidRPr="003B5500" w:rsidRDefault="003B5500" w:rsidP="003B5500">
      <w:pPr>
        <w:jc w:val="both"/>
        <w:rPr>
          <w:rFonts w:ascii="Times New Roman" w:hAnsi="Times New Roman" w:cs="Times New Roman"/>
          <w:b/>
          <w:bCs/>
          <w:sz w:val="24"/>
          <w:szCs w:val="24"/>
        </w:rPr>
      </w:pPr>
      <w:r w:rsidRPr="003B5500">
        <w:rPr>
          <w:rFonts w:ascii="Times New Roman" w:hAnsi="Times New Roman" w:cs="Times New Roman"/>
          <w:b/>
          <w:bCs/>
          <w:sz w:val="24"/>
          <w:szCs w:val="24"/>
        </w:rPr>
        <w:t>Industrial policy in Scotland</w:t>
      </w:r>
    </w:p>
    <w:p w14:paraId="069A8539" w14:textId="77777777" w:rsidR="003B5500" w:rsidRPr="003B5500" w:rsidRDefault="003B5500"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 xml:space="preserve">For Scotland three key questions follow: </w:t>
      </w:r>
    </w:p>
    <w:p w14:paraId="258BF269" w14:textId="13BF3DC8" w:rsidR="003B5500" w:rsidRPr="003B5500" w:rsidRDefault="003B5500" w:rsidP="003B5500">
      <w:pPr>
        <w:pStyle w:val="NoSpacing"/>
        <w:numPr>
          <w:ilvl w:val="0"/>
          <w:numId w:val="2"/>
        </w:numPr>
        <w:jc w:val="both"/>
        <w:rPr>
          <w:rFonts w:ascii="Times New Roman" w:hAnsi="Times New Roman" w:cs="Times New Roman"/>
          <w:sz w:val="24"/>
          <w:szCs w:val="24"/>
        </w:rPr>
      </w:pPr>
      <w:r w:rsidRPr="003B5500">
        <w:rPr>
          <w:rFonts w:ascii="Times New Roman" w:hAnsi="Times New Roman" w:cs="Times New Roman"/>
          <w:sz w:val="24"/>
          <w:szCs w:val="24"/>
        </w:rPr>
        <w:t xml:space="preserve">what powers the Scottish parliament will have under the new Tory legislation for policies that might allow different priorities, particularly various forms of public sector control and </w:t>
      </w:r>
      <w:proofErr w:type="gramStart"/>
      <w:r w:rsidRPr="003B5500">
        <w:rPr>
          <w:rFonts w:ascii="Times New Roman" w:hAnsi="Times New Roman" w:cs="Times New Roman"/>
          <w:sz w:val="24"/>
          <w:szCs w:val="24"/>
        </w:rPr>
        <w:t>ownership;</w:t>
      </w:r>
      <w:proofErr w:type="gramEnd"/>
    </w:p>
    <w:p w14:paraId="0A8C1B4C" w14:textId="02CBD0B8" w:rsidR="003B5500" w:rsidRPr="003B5500" w:rsidRDefault="003B5500" w:rsidP="003B5500">
      <w:pPr>
        <w:pStyle w:val="NoSpacing"/>
        <w:numPr>
          <w:ilvl w:val="0"/>
          <w:numId w:val="2"/>
        </w:numPr>
        <w:jc w:val="both"/>
        <w:rPr>
          <w:rFonts w:ascii="Times New Roman" w:hAnsi="Times New Roman" w:cs="Times New Roman"/>
          <w:sz w:val="24"/>
          <w:szCs w:val="24"/>
        </w:rPr>
      </w:pPr>
      <w:r w:rsidRPr="003B5500">
        <w:rPr>
          <w:rFonts w:ascii="Times New Roman" w:hAnsi="Times New Roman" w:cs="Times New Roman"/>
          <w:sz w:val="24"/>
          <w:szCs w:val="24"/>
        </w:rPr>
        <w:t xml:space="preserve">how far the Scottish parliament has the financial </w:t>
      </w:r>
      <w:r w:rsidRPr="003B5500">
        <w:rPr>
          <w:rFonts w:ascii="Times New Roman" w:hAnsi="Times New Roman" w:cs="Times New Roman"/>
          <w:b/>
          <w:bCs/>
          <w:i/>
          <w:iCs/>
          <w:sz w:val="24"/>
          <w:szCs w:val="24"/>
        </w:rPr>
        <w:t>resources</w:t>
      </w:r>
      <w:r w:rsidRPr="003B5500">
        <w:rPr>
          <w:rFonts w:ascii="Times New Roman" w:hAnsi="Times New Roman" w:cs="Times New Roman"/>
          <w:sz w:val="24"/>
          <w:szCs w:val="24"/>
        </w:rPr>
        <w:t xml:space="preserve"> to implement such </w:t>
      </w:r>
      <w:proofErr w:type="gramStart"/>
      <w:r w:rsidRPr="003B5500">
        <w:rPr>
          <w:rFonts w:ascii="Times New Roman" w:hAnsi="Times New Roman" w:cs="Times New Roman"/>
          <w:sz w:val="24"/>
          <w:szCs w:val="24"/>
        </w:rPr>
        <w:t>policies;</w:t>
      </w:r>
      <w:proofErr w:type="gramEnd"/>
    </w:p>
    <w:p w14:paraId="5A2092F0" w14:textId="3A03FE5F" w:rsidR="003B5500" w:rsidRPr="003B5500" w:rsidRDefault="003B5500" w:rsidP="003B5500">
      <w:pPr>
        <w:pStyle w:val="NoSpacing"/>
        <w:numPr>
          <w:ilvl w:val="0"/>
          <w:numId w:val="2"/>
        </w:numPr>
        <w:jc w:val="both"/>
        <w:rPr>
          <w:rFonts w:ascii="Times New Roman" w:hAnsi="Times New Roman" w:cs="Times New Roman"/>
          <w:sz w:val="24"/>
          <w:szCs w:val="24"/>
        </w:rPr>
      </w:pPr>
      <w:r w:rsidRPr="003B5500">
        <w:rPr>
          <w:rFonts w:ascii="Times New Roman" w:hAnsi="Times New Roman" w:cs="Times New Roman"/>
          <w:sz w:val="24"/>
          <w:szCs w:val="24"/>
        </w:rPr>
        <w:t xml:space="preserve">and, finally, the feasibility and relevance of alternative platforms for industrial development, particularly those posed the SNP government’s ‘independence in the EU’ and the policies posed by Labour in the last election eighteen months ago. </w:t>
      </w:r>
    </w:p>
    <w:p w14:paraId="2431DB1E" w14:textId="27AFD83B" w:rsidR="003B5500" w:rsidRPr="003B5500" w:rsidRDefault="003B5500" w:rsidP="003B5500">
      <w:pPr>
        <w:pStyle w:val="NoSpacing"/>
        <w:jc w:val="both"/>
        <w:rPr>
          <w:rFonts w:ascii="Times New Roman" w:hAnsi="Times New Roman" w:cs="Times New Roman"/>
          <w:sz w:val="24"/>
          <w:szCs w:val="24"/>
        </w:rPr>
      </w:pPr>
    </w:p>
    <w:p w14:paraId="75F3B444" w14:textId="0AA86AA0" w:rsidR="003B5500" w:rsidRPr="003B5500" w:rsidRDefault="003B5500"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 xml:space="preserve">The current legislative situation is, as we have seen, complicated. Key parts remain undefined.  The Subsidy Control Bill will not be finalised before the autumn and legislation governing public procurement six months after that.  However, the current drafts seem to indicate that they offer somewhat greater scope for intervention and subsidy than existed under EU regulations – presumably reflecting an understanding at governmental level that such intervention is now necessary for any significant investment-led industrial growth. </w:t>
      </w:r>
    </w:p>
    <w:p w14:paraId="15E23CC4" w14:textId="77777777" w:rsidR="003B5500" w:rsidRPr="003B5500" w:rsidRDefault="003B5500" w:rsidP="003B5500">
      <w:pPr>
        <w:pStyle w:val="NoSpacing"/>
        <w:jc w:val="both"/>
        <w:rPr>
          <w:rFonts w:ascii="Times New Roman" w:hAnsi="Times New Roman" w:cs="Times New Roman"/>
          <w:sz w:val="24"/>
          <w:szCs w:val="24"/>
        </w:rPr>
      </w:pPr>
    </w:p>
    <w:p w14:paraId="45BAF934" w14:textId="4F87C7B5" w:rsidR="003B5500" w:rsidRPr="003B5500" w:rsidRDefault="003B5500"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 xml:space="preserve">In terms of the restoration of policy powers to Scottish and Welsh legislatures, it also seems that these more permissive powers of intervention also apply to the actions of the devolved governments – although the ultimate legal authority, to allow or disallow, rests, under the terms of the Subsidy Control Bill, with the Competition and Markets Authority at British level.  Formally, therefore, in terms of ultimate control, the industrial policy powers conferred on Scotland and Wales by the 1998 Acts have not been restored although Westminster will argue that devolved legislatures do have the power to initiate.  </w:t>
      </w:r>
    </w:p>
    <w:p w14:paraId="2BC1CF9B" w14:textId="45463D42" w:rsidR="003B5500" w:rsidRPr="003B5500" w:rsidRDefault="003B5500" w:rsidP="003B5500">
      <w:pPr>
        <w:pStyle w:val="NoSpacing"/>
        <w:jc w:val="both"/>
        <w:rPr>
          <w:rFonts w:ascii="Times New Roman" w:hAnsi="Times New Roman" w:cs="Times New Roman"/>
          <w:sz w:val="24"/>
          <w:szCs w:val="24"/>
        </w:rPr>
      </w:pPr>
    </w:p>
    <w:p w14:paraId="32A8DF8C" w14:textId="785C5ED8" w:rsidR="003B5500" w:rsidRPr="003B5500" w:rsidRDefault="003B5500"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 xml:space="preserve">In terms of ‘state aid’ the 2021 Subsidy Control Bill would, under Clause 19, enable the Scottish government to ‘rescue’ failing or insolvent companies by providing temporary liquidity to assist restructuring or to provide financial assistance where it is satisfied that the objective is to avoid social hardship, severe market failure or job losses. Clause 20 makes provision for finance to be made available for the ‘credible restructuring’ of SMEs </w:t>
      </w:r>
      <w:r w:rsidRPr="003B5500">
        <w:rPr>
          <w:rFonts w:ascii="Times New Roman" w:hAnsi="Times New Roman" w:cs="Times New Roman"/>
          <w:i/>
          <w:iCs/>
          <w:sz w:val="24"/>
          <w:szCs w:val="24"/>
        </w:rPr>
        <w:t>or</w:t>
      </w:r>
      <w:r w:rsidRPr="003B5500">
        <w:rPr>
          <w:rFonts w:ascii="Times New Roman" w:hAnsi="Times New Roman" w:cs="Times New Roman"/>
          <w:sz w:val="24"/>
          <w:szCs w:val="24"/>
        </w:rPr>
        <w:t xml:space="preserve"> where owners have contributed significant funds. Clause 29 enables the subsidisation of ‘services of </w:t>
      </w:r>
      <w:r w:rsidRPr="003B5500">
        <w:rPr>
          <w:rFonts w:ascii="Times New Roman" w:hAnsi="Times New Roman" w:cs="Times New Roman"/>
          <w:sz w:val="24"/>
          <w:szCs w:val="24"/>
        </w:rPr>
        <w:lastRenderedPageBreak/>
        <w:t xml:space="preserve">public economic interest’ where the public authority is satisfied that the subsidy is ‘delivering required public </w:t>
      </w:r>
      <w:proofErr w:type="gramStart"/>
      <w:r w:rsidRPr="003B5500">
        <w:rPr>
          <w:rFonts w:ascii="Times New Roman" w:hAnsi="Times New Roman" w:cs="Times New Roman"/>
          <w:sz w:val="24"/>
          <w:szCs w:val="24"/>
        </w:rPr>
        <w:t>objectives’</w:t>
      </w:r>
      <w:proofErr w:type="gramEnd"/>
      <w:r w:rsidRPr="003B5500">
        <w:rPr>
          <w:rFonts w:ascii="Times New Roman" w:hAnsi="Times New Roman" w:cs="Times New Roman"/>
          <w:sz w:val="24"/>
          <w:szCs w:val="24"/>
        </w:rPr>
        <w:t>.</w:t>
      </w:r>
      <w:r w:rsidRPr="003B5500">
        <w:rPr>
          <w:rStyle w:val="EndnoteReference"/>
          <w:rFonts w:ascii="Times New Roman" w:hAnsi="Times New Roman" w:cs="Times New Roman"/>
          <w:sz w:val="24"/>
          <w:szCs w:val="24"/>
        </w:rPr>
        <w:endnoteReference w:id="10"/>
      </w:r>
    </w:p>
    <w:p w14:paraId="4435AF9F" w14:textId="5A9F4672" w:rsidR="003B5500" w:rsidRPr="003B5500" w:rsidRDefault="003B5500" w:rsidP="003B5500">
      <w:pPr>
        <w:pStyle w:val="NoSpacing"/>
        <w:jc w:val="both"/>
        <w:rPr>
          <w:rFonts w:ascii="Times New Roman" w:hAnsi="Times New Roman" w:cs="Times New Roman"/>
          <w:sz w:val="24"/>
          <w:szCs w:val="24"/>
        </w:rPr>
      </w:pPr>
    </w:p>
    <w:p w14:paraId="2B5E5B88" w14:textId="7C426972" w:rsidR="003B5500" w:rsidRPr="003B5500" w:rsidRDefault="003B5500"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The Green Paper ‘Transforming Public Procurement’ proposes new policy perspectives that would prioritise ‘levelling up’ and the opening of procurement to small and medium businesses.  Acceptable conditions for the award of contracts, by central government, local authorities and devolved administrations, would include ‘social wellbeing’ and contributions to ‘economic, social and environmental outcomes’ as well as creating ‘new businesses, new jobs and new skills in the UK’ and ‘supply diversity, innovation and resilience’.</w:t>
      </w:r>
      <w:r w:rsidRPr="003B5500">
        <w:rPr>
          <w:rStyle w:val="EndnoteReference"/>
          <w:rFonts w:ascii="Times New Roman" w:hAnsi="Times New Roman" w:cs="Times New Roman"/>
          <w:sz w:val="24"/>
          <w:szCs w:val="24"/>
        </w:rPr>
        <w:endnoteReference w:id="11"/>
      </w:r>
      <w:r w:rsidRPr="003B5500">
        <w:rPr>
          <w:rFonts w:ascii="Times New Roman" w:hAnsi="Times New Roman" w:cs="Times New Roman"/>
          <w:sz w:val="24"/>
          <w:szCs w:val="24"/>
        </w:rPr>
        <w:t xml:space="preserve">  Some greater leeway would therefore appear to exist for the types of policy being pursued under the ‘Preston model’ (or North Ayrshire in Scotland) for rerouting supply contracts to local suppliers as well as taking contracts in-house.</w:t>
      </w:r>
      <w:r w:rsidRPr="003B5500">
        <w:rPr>
          <w:rStyle w:val="EndnoteReference"/>
          <w:rFonts w:ascii="Times New Roman" w:hAnsi="Times New Roman" w:cs="Times New Roman"/>
          <w:sz w:val="24"/>
          <w:szCs w:val="24"/>
        </w:rPr>
        <w:endnoteReference w:id="12"/>
      </w:r>
      <w:r w:rsidRPr="003B5500">
        <w:rPr>
          <w:rFonts w:ascii="Times New Roman" w:hAnsi="Times New Roman" w:cs="Times New Roman"/>
          <w:sz w:val="24"/>
          <w:szCs w:val="24"/>
        </w:rPr>
        <w:t xml:space="preserve">  However, the shift of emphasis is limited – as Unite stressed in its response, flagging up a number of areas of concern.</w:t>
      </w:r>
      <w:r w:rsidRPr="003B5500">
        <w:rPr>
          <w:rStyle w:val="EndnoteReference"/>
          <w:rFonts w:ascii="Times New Roman" w:hAnsi="Times New Roman" w:cs="Times New Roman"/>
          <w:sz w:val="24"/>
          <w:szCs w:val="24"/>
        </w:rPr>
        <w:endnoteReference w:id="13"/>
      </w:r>
      <w:r w:rsidRPr="003B5500">
        <w:rPr>
          <w:rFonts w:ascii="Times New Roman" w:hAnsi="Times New Roman" w:cs="Times New Roman"/>
          <w:sz w:val="24"/>
          <w:szCs w:val="24"/>
        </w:rPr>
        <w:t xml:space="preserve">  The terms already agreed by the government under the new 2020 GPA agreement with the WTO will in practice restrict ability to define ‘social value’.  Nor do the new Green Paper proposals oblige contractors to give first consideration to locally produced components, such as steel.  Nor, finally, do local authorities have any mandatory obligation to give pre-contract consideration to whether in-house provision provides better outcomes – and there no requirements for trade union recognition or collective bargaining.</w:t>
      </w:r>
      <w:r w:rsidRPr="003B5500">
        <w:rPr>
          <w:rStyle w:val="EndnoteReference"/>
          <w:rFonts w:ascii="Times New Roman" w:hAnsi="Times New Roman" w:cs="Times New Roman"/>
          <w:sz w:val="24"/>
          <w:szCs w:val="24"/>
        </w:rPr>
        <w:endnoteReference w:id="14"/>
      </w:r>
    </w:p>
    <w:p w14:paraId="10A62380" w14:textId="77777777" w:rsidR="003B5500" w:rsidRPr="003B5500" w:rsidRDefault="003B5500" w:rsidP="003B5500">
      <w:pPr>
        <w:pStyle w:val="NoSpacing"/>
        <w:jc w:val="both"/>
        <w:rPr>
          <w:rFonts w:ascii="Times New Roman" w:hAnsi="Times New Roman" w:cs="Times New Roman"/>
          <w:sz w:val="24"/>
          <w:szCs w:val="24"/>
        </w:rPr>
      </w:pPr>
    </w:p>
    <w:p w14:paraId="480F4E28" w14:textId="12AF2428" w:rsidR="003B5500" w:rsidRPr="003B5500" w:rsidRDefault="003B5500"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However, in practice and certainly for the immediate future, a still more powerful constraint will apply.  Scottish government budgets will be very sharply constrained by the Treasury’s drive to cut back spending and there will, additionally, be the impact of inflation itself.  The borrowing powers of the Scottish government are limited: £450m annually on capital investment and £600m on resource spending.  These figures may appear to be relatively large – but not when viewed against the Westminster’s announced spending on industrial policy over the coming year of over £30 billion (of which a Scottish 10 percent would be £3 billion) – or even the very low figure for Scottish business investment itself: £1.4 billion in 2018-2019.</w:t>
      </w:r>
      <w:r w:rsidRPr="003B5500">
        <w:rPr>
          <w:rStyle w:val="EndnoteReference"/>
          <w:rFonts w:ascii="Times New Roman" w:hAnsi="Times New Roman" w:cs="Times New Roman"/>
          <w:sz w:val="24"/>
          <w:szCs w:val="24"/>
        </w:rPr>
        <w:endnoteReference w:id="15"/>
      </w:r>
      <w:r w:rsidRPr="003B5500">
        <w:rPr>
          <w:rFonts w:ascii="Times New Roman" w:hAnsi="Times New Roman" w:cs="Times New Roman"/>
          <w:sz w:val="24"/>
          <w:szCs w:val="24"/>
        </w:rPr>
        <w:t xml:space="preserve">  Finance as well as policy would militate against significant public sector intervention by the Scottish parliament.</w:t>
      </w:r>
      <w:r w:rsidRPr="003B5500">
        <w:rPr>
          <w:rStyle w:val="EndnoteReference"/>
          <w:rFonts w:ascii="Times New Roman" w:hAnsi="Times New Roman" w:cs="Times New Roman"/>
          <w:sz w:val="24"/>
          <w:szCs w:val="24"/>
        </w:rPr>
        <w:endnoteReference w:id="16"/>
      </w:r>
      <w:r w:rsidRPr="003B5500">
        <w:rPr>
          <w:rFonts w:ascii="Times New Roman" w:hAnsi="Times New Roman" w:cs="Times New Roman"/>
          <w:sz w:val="24"/>
          <w:szCs w:val="24"/>
        </w:rPr>
        <w:t xml:space="preserve">   </w:t>
      </w:r>
    </w:p>
    <w:p w14:paraId="34D4F738" w14:textId="691CF9C8" w:rsidR="003B5500" w:rsidRPr="003B5500" w:rsidRDefault="003B5500" w:rsidP="003B5500">
      <w:pPr>
        <w:pStyle w:val="NoSpacing"/>
        <w:jc w:val="both"/>
        <w:rPr>
          <w:rFonts w:ascii="Times New Roman" w:hAnsi="Times New Roman" w:cs="Times New Roman"/>
          <w:sz w:val="24"/>
          <w:szCs w:val="24"/>
        </w:rPr>
      </w:pPr>
    </w:p>
    <w:p w14:paraId="78491666" w14:textId="77777777" w:rsidR="003B5500" w:rsidRPr="003B5500" w:rsidRDefault="003B5500"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 xml:space="preserve">Against this lack of power, particularly in terms of financial resource, we come to the developmental needs of the Scottish economy. </w:t>
      </w:r>
    </w:p>
    <w:p w14:paraId="7435EA5D" w14:textId="77777777" w:rsidR="003B5500" w:rsidRPr="003B5500" w:rsidRDefault="003B5500" w:rsidP="003B5500">
      <w:pPr>
        <w:pStyle w:val="NoSpacing"/>
        <w:jc w:val="both"/>
        <w:rPr>
          <w:rFonts w:ascii="Times New Roman" w:hAnsi="Times New Roman" w:cs="Times New Roman"/>
          <w:sz w:val="24"/>
          <w:szCs w:val="24"/>
        </w:rPr>
      </w:pPr>
    </w:p>
    <w:p w14:paraId="24B87ABA" w14:textId="26ED2F22" w:rsidR="00F170C0" w:rsidRPr="003B5500" w:rsidRDefault="003B5500"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 xml:space="preserve">Previous editions of the Red Paper have documented the problems.  Business investment in Scotland is low, lower still than that of Britain as whole, and reached its lowest level just before Covid, less than 7 per cent of GDP.  Research and development </w:t>
      </w:r>
      <w:proofErr w:type="gramStart"/>
      <w:r w:rsidRPr="003B5500">
        <w:rPr>
          <w:rFonts w:ascii="Times New Roman" w:hAnsi="Times New Roman" w:cs="Times New Roman"/>
          <w:sz w:val="24"/>
          <w:szCs w:val="24"/>
        </w:rPr>
        <w:t>is</w:t>
      </w:r>
      <w:proofErr w:type="gramEnd"/>
      <w:r w:rsidRPr="003B5500">
        <w:rPr>
          <w:rFonts w:ascii="Times New Roman" w:hAnsi="Times New Roman" w:cs="Times New Roman"/>
          <w:sz w:val="24"/>
          <w:szCs w:val="24"/>
        </w:rPr>
        <w:t xml:space="preserve"> also lower than the British average, and, unlike English regions, preponderantly dependent on university research rather than industry (and, without the funding stream from Chinese students, that itself would be minimal).</w:t>
      </w:r>
      <w:r w:rsidRPr="003B5500">
        <w:rPr>
          <w:rStyle w:val="EndnoteReference"/>
          <w:rFonts w:ascii="Times New Roman" w:hAnsi="Times New Roman" w:cs="Times New Roman"/>
          <w:sz w:val="24"/>
          <w:szCs w:val="24"/>
        </w:rPr>
        <w:endnoteReference w:id="17"/>
      </w:r>
      <w:r w:rsidRPr="003B5500">
        <w:rPr>
          <w:rFonts w:ascii="Times New Roman" w:hAnsi="Times New Roman" w:cs="Times New Roman"/>
          <w:sz w:val="24"/>
          <w:szCs w:val="24"/>
        </w:rPr>
        <w:t xml:space="preserve"> </w:t>
      </w:r>
      <w:r w:rsidR="00971B8D" w:rsidRPr="003B5500">
        <w:rPr>
          <w:rFonts w:ascii="Times New Roman" w:hAnsi="Times New Roman" w:cs="Times New Roman"/>
          <w:sz w:val="24"/>
          <w:szCs w:val="24"/>
        </w:rPr>
        <w:t xml:space="preserve"> </w:t>
      </w:r>
    </w:p>
    <w:p w14:paraId="0EE9081C" w14:textId="77777777" w:rsidR="00F170C0" w:rsidRPr="003B5500" w:rsidRDefault="00F170C0" w:rsidP="003B5500">
      <w:pPr>
        <w:pStyle w:val="NoSpacing"/>
        <w:jc w:val="both"/>
        <w:rPr>
          <w:rFonts w:ascii="Times New Roman" w:hAnsi="Times New Roman" w:cs="Times New Roman"/>
          <w:sz w:val="24"/>
          <w:szCs w:val="24"/>
        </w:rPr>
      </w:pPr>
    </w:p>
    <w:p w14:paraId="17A750B7" w14:textId="197D60DF" w:rsidR="0025605C" w:rsidRPr="003B5500" w:rsidRDefault="00FC54E8"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 xml:space="preserve">Only a very small number of </w:t>
      </w:r>
      <w:r w:rsidR="005A03CD" w:rsidRPr="003B5500">
        <w:rPr>
          <w:rFonts w:ascii="Times New Roman" w:hAnsi="Times New Roman" w:cs="Times New Roman"/>
          <w:sz w:val="24"/>
          <w:szCs w:val="24"/>
        </w:rPr>
        <w:t>significant</w:t>
      </w:r>
      <w:r w:rsidR="00971B8D" w:rsidRPr="003B5500">
        <w:rPr>
          <w:rFonts w:ascii="Times New Roman" w:hAnsi="Times New Roman" w:cs="Times New Roman"/>
          <w:sz w:val="24"/>
          <w:szCs w:val="24"/>
        </w:rPr>
        <w:t xml:space="preserve"> industrial firms</w:t>
      </w:r>
      <w:r w:rsidR="005A03CD" w:rsidRPr="003B5500">
        <w:rPr>
          <w:rFonts w:ascii="Times New Roman" w:hAnsi="Times New Roman" w:cs="Times New Roman"/>
          <w:sz w:val="24"/>
          <w:szCs w:val="24"/>
        </w:rPr>
        <w:t>,</w:t>
      </w:r>
      <w:r w:rsidR="00971B8D" w:rsidRPr="003B5500">
        <w:rPr>
          <w:rFonts w:ascii="Times New Roman" w:hAnsi="Times New Roman" w:cs="Times New Roman"/>
          <w:sz w:val="24"/>
          <w:szCs w:val="24"/>
        </w:rPr>
        <w:t xml:space="preserve"> with export potential</w:t>
      </w:r>
      <w:r w:rsidR="005A03CD" w:rsidRPr="003B5500">
        <w:rPr>
          <w:rFonts w:ascii="Times New Roman" w:hAnsi="Times New Roman" w:cs="Times New Roman"/>
          <w:sz w:val="24"/>
          <w:szCs w:val="24"/>
        </w:rPr>
        <w:t>,</w:t>
      </w:r>
      <w:r w:rsidR="00971B8D" w:rsidRPr="003B5500">
        <w:rPr>
          <w:rFonts w:ascii="Times New Roman" w:hAnsi="Times New Roman" w:cs="Times New Roman"/>
          <w:sz w:val="24"/>
          <w:szCs w:val="24"/>
        </w:rPr>
        <w:t xml:space="preserve"> remain </w:t>
      </w:r>
      <w:r w:rsidR="005A03CD" w:rsidRPr="003B5500">
        <w:rPr>
          <w:rFonts w:ascii="Times New Roman" w:hAnsi="Times New Roman" w:cs="Times New Roman"/>
          <w:sz w:val="24"/>
          <w:szCs w:val="24"/>
        </w:rPr>
        <w:t xml:space="preserve">independent and under local control – rather than owned by external </w:t>
      </w:r>
      <w:r w:rsidR="00DE02A9" w:rsidRPr="003B5500">
        <w:rPr>
          <w:rFonts w:ascii="Times New Roman" w:hAnsi="Times New Roman" w:cs="Times New Roman"/>
          <w:sz w:val="24"/>
          <w:szCs w:val="24"/>
        </w:rPr>
        <w:t>investors</w:t>
      </w:r>
      <w:r w:rsidRPr="003B5500">
        <w:rPr>
          <w:rFonts w:ascii="Times New Roman" w:hAnsi="Times New Roman" w:cs="Times New Roman"/>
          <w:sz w:val="24"/>
          <w:szCs w:val="24"/>
        </w:rPr>
        <w:t>.</w:t>
      </w:r>
      <w:r w:rsidR="005A03CD" w:rsidRPr="003B5500">
        <w:rPr>
          <w:rFonts w:ascii="Times New Roman" w:hAnsi="Times New Roman" w:cs="Times New Roman"/>
          <w:sz w:val="24"/>
          <w:szCs w:val="24"/>
        </w:rPr>
        <w:t xml:space="preserve">  Since the last edition of the Red Paper</w:t>
      </w:r>
      <w:r w:rsidRPr="003B5500">
        <w:rPr>
          <w:rFonts w:ascii="Times New Roman" w:hAnsi="Times New Roman" w:cs="Times New Roman"/>
          <w:sz w:val="24"/>
          <w:szCs w:val="24"/>
        </w:rPr>
        <w:t>,</w:t>
      </w:r>
      <w:r w:rsidR="005A03CD" w:rsidRPr="003B5500">
        <w:rPr>
          <w:rFonts w:ascii="Times New Roman" w:hAnsi="Times New Roman" w:cs="Times New Roman"/>
          <w:sz w:val="24"/>
          <w:szCs w:val="24"/>
        </w:rPr>
        <w:t xml:space="preserve"> </w:t>
      </w:r>
      <w:r w:rsidR="00DB4F97" w:rsidRPr="003B5500">
        <w:rPr>
          <w:rFonts w:ascii="Times New Roman" w:hAnsi="Times New Roman" w:cs="Times New Roman"/>
          <w:sz w:val="24"/>
          <w:szCs w:val="24"/>
        </w:rPr>
        <w:t xml:space="preserve">the number of such firms </w:t>
      </w:r>
      <w:r w:rsidR="005A03CD" w:rsidRPr="003B5500">
        <w:rPr>
          <w:rFonts w:ascii="Times New Roman" w:hAnsi="Times New Roman" w:cs="Times New Roman"/>
          <w:sz w:val="24"/>
          <w:szCs w:val="24"/>
        </w:rPr>
        <w:t xml:space="preserve">has reduced from eight to seven with the loss of Alexander Dennis buses, Scotland’s last significant motor manufacturer.  </w:t>
      </w:r>
      <w:r w:rsidR="00582B23" w:rsidRPr="003B5500">
        <w:rPr>
          <w:rFonts w:ascii="Times New Roman" w:hAnsi="Times New Roman" w:cs="Times New Roman"/>
          <w:sz w:val="24"/>
          <w:szCs w:val="24"/>
        </w:rPr>
        <w:t xml:space="preserve">The remaining seven cover timber (2), whisky (2), shipping (1), fishing (1) and publishing (1). Other financially significant firms under independent ownership are all geared to services </w:t>
      </w:r>
      <w:r w:rsidR="00C82309" w:rsidRPr="003B5500">
        <w:rPr>
          <w:rFonts w:ascii="Times New Roman" w:hAnsi="Times New Roman" w:cs="Times New Roman"/>
          <w:sz w:val="24"/>
          <w:szCs w:val="24"/>
        </w:rPr>
        <w:t>catering for</w:t>
      </w:r>
      <w:r w:rsidR="00582B23" w:rsidRPr="003B5500">
        <w:rPr>
          <w:rFonts w:ascii="Times New Roman" w:hAnsi="Times New Roman" w:cs="Times New Roman"/>
          <w:sz w:val="24"/>
          <w:szCs w:val="24"/>
        </w:rPr>
        <w:t xml:space="preserve"> internal markets: car hire, plant hire, property, construction and, in two cases, finance.  All other</w:t>
      </w:r>
      <w:r w:rsidR="00C82309" w:rsidRPr="003B5500">
        <w:rPr>
          <w:rFonts w:ascii="Times New Roman" w:hAnsi="Times New Roman" w:cs="Times New Roman"/>
          <w:sz w:val="24"/>
          <w:szCs w:val="24"/>
        </w:rPr>
        <w:t xml:space="preserve"> companies listed among the top 100 by Scottish Business Insider are either subsidiaries of externally owned firms or firms, such as John Wood or Weirs, </w:t>
      </w:r>
      <w:r w:rsidR="00CF2A76" w:rsidRPr="003B5500">
        <w:rPr>
          <w:rFonts w:ascii="Times New Roman" w:hAnsi="Times New Roman" w:cs="Times New Roman"/>
          <w:sz w:val="24"/>
          <w:szCs w:val="24"/>
        </w:rPr>
        <w:t xml:space="preserve">now </w:t>
      </w:r>
      <w:r w:rsidR="00C82309" w:rsidRPr="003B5500">
        <w:rPr>
          <w:rFonts w:ascii="Times New Roman" w:hAnsi="Times New Roman" w:cs="Times New Roman"/>
          <w:sz w:val="24"/>
          <w:szCs w:val="24"/>
        </w:rPr>
        <w:t xml:space="preserve">dominated </w:t>
      </w:r>
      <w:r w:rsidR="00C82309" w:rsidRPr="003B5500">
        <w:rPr>
          <w:rFonts w:ascii="Times New Roman" w:hAnsi="Times New Roman" w:cs="Times New Roman"/>
          <w:sz w:val="24"/>
          <w:szCs w:val="24"/>
        </w:rPr>
        <w:lastRenderedPageBreak/>
        <w:t xml:space="preserve">by blocks of shares </w:t>
      </w:r>
      <w:r w:rsidRPr="003B5500">
        <w:rPr>
          <w:rFonts w:ascii="Times New Roman" w:hAnsi="Times New Roman" w:cs="Times New Roman"/>
          <w:sz w:val="24"/>
          <w:szCs w:val="24"/>
        </w:rPr>
        <w:t xml:space="preserve">owned by </w:t>
      </w:r>
      <w:r w:rsidR="00DE02A9" w:rsidRPr="003B5500">
        <w:rPr>
          <w:rFonts w:ascii="Times New Roman" w:hAnsi="Times New Roman" w:cs="Times New Roman"/>
          <w:sz w:val="24"/>
          <w:szCs w:val="24"/>
        </w:rPr>
        <w:t xml:space="preserve">the </w:t>
      </w:r>
      <w:r w:rsidRPr="003B5500">
        <w:rPr>
          <w:rFonts w:ascii="Times New Roman" w:hAnsi="Times New Roman" w:cs="Times New Roman"/>
          <w:sz w:val="24"/>
          <w:szCs w:val="24"/>
        </w:rPr>
        <w:t>big finance companies</w:t>
      </w:r>
      <w:r w:rsidR="00C65F6D" w:rsidRPr="003B5500">
        <w:rPr>
          <w:rFonts w:ascii="Times New Roman" w:hAnsi="Times New Roman" w:cs="Times New Roman"/>
          <w:sz w:val="24"/>
          <w:szCs w:val="24"/>
        </w:rPr>
        <w:t xml:space="preserve">. </w:t>
      </w:r>
      <w:r w:rsidRPr="003B5500">
        <w:rPr>
          <w:rFonts w:ascii="Times New Roman" w:hAnsi="Times New Roman" w:cs="Times New Roman"/>
          <w:sz w:val="24"/>
          <w:szCs w:val="24"/>
        </w:rPr>
        <w:t>BlackRock, Capital Group and Invesco</w:t>
      </w:r>
      <w:r w:rsidR="00C65F6D" w:rsidRPr="003B5500">
        <w:rPr>
          <w:rFonts w:ascii="Times New Roman" w:hAnsi="Times New Roman" w:cs="Times New Roman"/>
          <w:sz w:val="24"/>
          <w:szCs w:val="24"/>
        </w:rPr>
        <w:t xml:space="preserve"> are </w:t>
      </w:r>
      <w:r w:rsidR="002052F2" w:rsidRPr="003B5500">
        <w:rPr>
          <w:rFonts w:ascii="Times New Roman" w:hAnsi="Times New Roman" w:cs="Times New Roman"/>
          <w:sz w:val="24"/>
          <w:szCs w:val="24"/>
        </w:rPr>
        <w:t xml:space="preserve">currently </w:t>
      </w:r>
      <w:r w:rsidR="00DE02A9" w:rsidRPr="003B5500">
        <w:rPr>
          <w:rFonts w:ascii="Times New Roman" w:hAnsi="Times New Roman" w:cs="Times New Roman"/>
          <w:sz w:val="24"/>
          <w:szCs w:val="24"/>
        </w:rPr>
        <w:t xml:space="preserve">the three </w:t>
      </w:r>
      <w:r w:rsidR="00DB4F97" w:rsidRPr="003B5500">
        <w:rPr>
          <w:rFonts w:ascii="Times New Roman" w:hAnsi="Times New Roman" w:cs="Times New Roman"/>
          <w:sz w:val="24"/>
          <w:szCs w:val="24"/>
        </w:rPr>
        <w:t>most active</w:t>
      </w:r>
      <w:r w:rsidR="002052F2" w:rsidRPr="003B5500">
        <w:rPr>
          <w:rFonts w:ascii="Times New Roman" w:hAnsi="Times New Roman" w:cs="Times New Roman"/>
          <w:sz w:val="24"/>
          <w:szCs w:val="24"/>
        </w:rPr>
        <w:t>.</w:t>
      </w:r>
    </w:p>
    <w:p w14:paraId="0B7036C0" w14:textId="6AF123D0" w:rsidR="002052F2" w:rsidRPr="003B5500" w:rsidRDefault="002052F2" w:rsidP="003B5500">
      <w:pPr>
        <w:pStyle w:val="NoSpacing"/>
        <w:jc w:val="both"/>
        <w:rPr>
          <w:rFonts w:ascii="Times New Roman" w:hAnsi="Times New Roman" w:cs="Times New Roman"/>
          <w:sz w:val="24"/>
          <w:szCs w:val="24"/>
        </w:rPr>
      </w:pPr>
    </w:p>
    <w:p w14:paraId="3FF7C804" w14:textId="05099B3D" w:rsidR="002052F2" w:rsidRPr="003B5500" w:rsidRDefault="002052F2" w:rsidP="003B5500">
      <w:pPr>
        <w:pStyle w:val="NoSpacing"/>
        <w:jc w:val="both"/>
        <w:rPr>
          <w:rFonts w:ascii="Times New Roman" w:hAnsi="Times New Roman" w:cs="Times New Roman"/>
          <w:b/>
          <w:bCs/>
          <w:sz w:val="24"/>
          <w:szCs w:val="24"/>
        </w:rPr>
      </w:pPr>
      <w:r w:rsidRPr="003B5500">
        <w:rPr>
          <w:rFonts w:ascii="Times New Roman" w:hAnsi="Times New Roman" w:cs="Times New Roman"/>
          <w:b/>
          <w:bCs/>
          <w:sz w:val="24"/>
          <w:szCs w:val="24"/>
        </w:rPr>
        <w:t xml:space="preserve">Johnson’s intervention and </w:t>
      </w:r>
      <w:r w:rsidR="003255E9" w:rsidRPr="003B5500">
        <w:rPr>
          <w:rFonts w:ascii="Times New Roman" w:hAnsi="Times New Roman" w:cs="Times New Roman"/>
          <w:b/>
          <w:bCs/>
          <w:sz w:val="24"/>
          <w:szCs w:val="24"/>
        </w:rPr>
        <w:t xml:space="preserve">the political </w:t>
      </w:r>
      <w:r w:rsidRPr="003B5500">
        <w:rPr>
          <w:rFonts w:ascii="Times New Roman" w:hAnsi="Times New Roman" w:cs="Times New Roman"/>
          <w:b/>
          <w:bCs/>
          <w:sz w:val="24"/>
          <w:szCs w:val="24"/>
        </w:rPr>
        <w:t>alternatives</w:t>
      </w:r>
      <w:r w:rsidR="003255E9" w:rsidRPr="003B5500">
        <w:rPr>
          <w:rFonts w:ascii="Times New Roman" w:hAnsi="Times New Roman" w:cs="Times New Roman"/>
          <w:b/>
          <w:bCs/>
          <w:sz w:val="24"/>
          <w:szCs w:val="24"/>
        </w:rPr>
        <w:t>: some interim conclusions</w:t>
      </w:r>
    </w:p>
    <w:p w14:paraId="5C953026" w14:textId="4B91D74C" w:rsidR="003255E9" w:rsidRPr="003B5500" w:rsidRDefault="003255E9" w:rsidP="003B5500">
      <w:pPr>
        <w:pStyle w:val="NoSpacing"/>
        <w:jc w:val="both"/>
        <w:rPr>
          <w:rFonts w:ascii="Times New Roman" w:hAnsi="Times New Roman" w:cs="Times New Roman"/>
          <w:sz w:val="24"/>
          <w:szCs w:val="24"/>
        </w:rPr>
      </w:pPr>
    </w:p>
    <w:p w14:paraId="20F450BA" w14:textId="0E0171B3" w:rsidR="00FD79D6" w:rsidRPr="003B5500" w:rsidRDefault="00E03E03"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 xml:space="preserve">Johnson’s strategy </w:t>
      </w:r>
      <w:r w:rsidR="00062664" w:rsidRPr="003B5500">
        <w:rPr>
          <w:rFonts w:ascii="Times New Roman" w:hAnsi="Times New Roman" w:cs="Times New Roman"/>
          <w:sz w:val="24"/>
          <w:szCs w:val="24"/>
        </w:rPr>
        <w:t>seems</w:t>
      </w:r>
      <w:r w:rsidRPr="003B5500">
        <w:rPr>
          <w:rFonts w:ascii="Times New Roman" w:hAnsi="Times New Roman" w:cs="Times New Roman"/>
          <w:sz w:val="24"/>
          <w:szCs w:val="24"/>
        </w:rPr>
        <w:t xml:space="preserve"> likely to h</w:t>
      </w:r>
      <w:r w:rsidR="00542E85" w:rsidRPr="003B5500">
        <w:rPr>
          <w:rFonts w:ascii="Times New Roman" w:hAnsi="Times New Roman" w:cs="Times New Roman"/>
          <w:sz w:val="24"/>
          <w:szCs w:val="24"/>
        </w:rPr>
        <w:t>ave some interim success – economically</w:t>
      </w:r>
      <w:r w:rsidRPr="003B5500">
        <w:rPr>
          <w:rFonts w:ascii="Times New Roman" w:hAnsi="Times New Roman" w:cs="Times New Roman"/>
          <w:sz w:val="24"/>
          <w:szCs w:val="24"/>
        </w:rPr>
        <w:t xml:space="preserve"> </w:t>
      </w:r>
      <w:proofErr w:type="gramStart"/>
      <w:r w:rsidRPr="003B5500">
        <w:rPr>
          <w:rFonts w:ascii="Times New Roman" w:hAnsi="Times New Roman" w:cs="Times New Roman"/>
          <w:sz w:val="24"/>
          <w:szCs w:val="24"/>
        </w:rPr>
        <w:t>and,</w:t>
      </w:r>
      <w:proofErr w:type="gramEnd"/>
      <w:r w:rsidRPr="003B5500">
        <w:rPr>
          <w:rFonts w:ascii="Times New Roman" w:hAnsi="Times New Roman" w:cs="Times New Roman"/>
          <w:sz w:val="24"/>
          <w:szCs w:val="24"/>
        </w:rPr>
        <w:t xml:space="preserve"> probably, politically. At this stage his government appears to have the resources to direct major British companies to undertake investment in Scotland – on infrastructure, defence and on ecologically privileged projects for carbon storage and wind and wave power.  </w:t>
      </w:r>
      <w:proofErr w:type="gramStart"/>
      <w:r w:rsidRPr="003B5500">
        <w:rPr>
          <w:rFonts w:ascii="Times New Roman" w:hAnsi="Times New Roman" w:cs="Times New Roman"/>
          <w:sz w:val="24"/>
          <w:szCs w:val="24"/>
        </w:rPr>
        <w:t>But,</w:t>
      </w:r>
      <w:proofErr w:type="gramEnd"/>
      <w:r w:rsidRPr="003B5500">
        <w:rPr>
          <w:rFonts w:ascii="Times New Roman" w:hAnsi="Times New Roman" w:cs="Times New Roman"/>
          <w:sz w:val="24"/>
          <w:szCs w:val="24"/>
        </w:rPr>
        <w:t xml:space="preserve"> </w:t>
      </w:r>
      <w:r w:rsidR="00062664" w:rsidRPr="003B5500">
        <w:rPr>
          <w:rFonts w:ascii="Times New Roman" w:hAnsi="Times New Roman" w:cs="Times New Roman"/>
          <w:sz w:val="24"/>
          <w:szCs w:val="24"/>
        </w:rPr>
        <w:t xml:space="preserve">the </w:t>
      </w:r>
      <w:r w:rsidRPr="003B5500">
        <w:rPr>
          <w:rFonts w:ascii="Times New Roman" w:hAnsi="Times New Roman" w:cs="Times New Roman"/>
          <w:sz w:val="24"/>
          <w:szCs w:val="24"/>
        </w:rPr>
        <w:t xml:space="preserve">future battle to pay down national debt, with priority given to sterling and the City, </w:t>
      </w:r>
      <w:r w:rsidR="00B361E5" w:rsidRPr="003B5500">
        <w:rPr>
          <w:rFonts w:ascii="Times New Roman" w:hAnsi="Times New Roman" w:cs="Times New Roman"/>
          <w:sz w:val="24"/>
          <w:szCs w:val="24"/>
        </w:rPr>
        <w:t xml:space="preserve">makes it doubtful whether </w:t>
      </w:r>
      <w:r w:rsidRPr="003B5500">
        <w:rPr>
          <w:rFonts w:ascii="Times New Roman" w:hAnsi="Times New Roman" w:cs="Times New Roman"/>
          <w:sz w:val="24"/>
          <w:szCs w:val="24"/>
        </w:rPr>
        <w:t xml:space="preserve">such state sponsored investment </w:t>
      </w:r>
      <w:r w:rsidR="00062664" w:rsidRPr="003B5500">
        <w:rPr>
          <w:rFonts w:ascii="Times New Roman" w:hAnsi="Times New Roman" w:cs="Times New Roman"/>
          <w:sz w:val="24"/>
          <w:szCs w:val="24"/>
        </w:rPr>
        <w:t xml:space="preserve">can </w:t>
      </w:r>
      <w:r w:rsidRPr="003B5500">
        <w:rPr>
          <w:rFonts w:ascii="Times New Roman" w:hAnsi="Times New Roman" w:cs="Times New Roman"/>
          <w:sz w:val="24"/>
          <w:szCs w:val="24"/>
        </w:rPr>
        <w:t>continue for long</w:t>
      </w:r>
      <w:r w:rsidR="00062664" w:rsidRPr="003B5500">
        <w:rPr>
          <w:rFonts w:ascii="Times New Roman" w:hAnsi="Times New Roman" w:cs="Times New Roman"/>
          <w:sz w:val="24"/>
          <w:szCs w:val="24"/>
        </w:rPr>
        <w:t>.  As with the manufacturing branch plants of the 1960s and the electronics companies of the 1980s, rationalisation will</w:t>
      </w:r>
      <w:r w:rsidR="00B361E5" w:rsidRPr="003B5500">
        <w:rPr>
          <w:rFonts w:ascii="Times New Roman" w:hAnsi="Times New Roman" w:cs="Times New Roman"/>
          <w:sz w:val="24"/>
          <w:szCs w:val="24"/>
        </w:rPr>
        <w:t xml:space="preserve"> then</w:t>
      </w:r>
      <w:r w:rsidR="00062664" w:rsidRPr="003B5500">
        <w:rPr>
          <w:rFonts w:ascii="Times New Roman" w:hAnsi="Times New Roman" w:cs="Times New Roman"/>
          <w:sz w:val="24"/>
          <w:szCs w:val="24"/>
        </w:rPr>
        <w:t xml:space="preserve"> take its toll. </w:t>
      </w:r>
      <w:r w:rsidR="00AF4B79" w:rsidRPr="003B5500">
        <w:rPr>
          <w:rFonts w:ascii="Times New Roman" w:hAnsi="Times New Roman" w:cs="Times New Roman"/>
          <w:sz w:val="24"/>
          <w:szCs w:val="24"/>
        </w:rPr>
        <w:t xml:space="preserve"> In developing self-sustaining</w:t>
      </w:r>
      <w:r w:rsidR="00062664" w:rsidRPr="003B5500">
        <w:rPr>
          <w:rFonts w:ascii="Times New Roman" w:hAnsi="Times New Roman" w:cs="Times New Roman"/>
          <w:sz w:val="24"/>
          <w:szCs w:val="24"/>
        </w:rPr>
        <w:t xml:space="preserve"> </w:t>
      </w:r>
      <w:r w:rsidR="00AF4B79" w:rsidRPr="003B5500">
        <w:rPr>
          <w:rFonts w:ascii="Times New Roman" w:hAnsi="Times New Roman" w:cs="Times New Roman"/>
          <w:sz w:val="24"/>
          <w:szCs w:val="24"/>
        </w:rPr>
        <w:t>regional growth o</w:t>
      </w:r>
      <w:r w:rsidR="00062664" w:rsidRPr="003B5500">
        <w:rPr>
          <w:rFonts w:ascii="Times New Roman" w:hAnsi="Times New Roman" w:cs="Times New Roman"/>
          <w:sz w:val="24"/>
          <w:szCs w:val="24"/>
        </w:rPr>
        <w:t xml:space="preserve">ne of the most important factors </w:t>
      </w:r>
      <w:r w:rsidR="00B361E5" w:rsidRPr="003B5500">
        <w:rPr>
          <w:rFonts w:ascii="Times New Roman" w:hAnsi="Times New Roman" w:cs="Times New Roman"/>
          <w:sz w:val="24"/>
          <w:szCs w:val="24"/>
        </w:rPr>
        <w:t>is the</w:t>
      </w:r>
      <w:r w:rsidR="00AF4B79" w:rsidRPr="003B5500">
        <w:rPr>
          <w:rFonts w:ascii="Times New Roman" w:hAnsi="Times New Roman" w:cs="Times New Roman"/>
          <w:sz w:val="24"/>
          <w:szCs w:val="24"/>
        </w:rPr>
        <w:t xml:space="preserve"> cumulative</w:t>
      </w:r>
      <w:r w:rsidR="00B361E5" w:rsidRPr="003B5500">
        <w:rPr>
          <w:rFonts w:ascii="Times New Roman" w:hAnsi="Times New Roman" w:cs="Times New Roman"/>
          <w:sz w:val="24"/>
          <w:szCs w:val="24"/>
        </w:rPr>
        <w:t xml:space="preserve"> development of</w:t>
      </w:r>
      <w:r w:rsidR="00FD79D6" w:rsidRPr="003B5500">
        <w:rPr>
          <w:rFonts w:ascii="Times New Roman" w:hAnsi="Times New Roman" w:cs="Times New Roman"/>
          <w:sz w:val="24"/>
          <w:szCs w:val="24"/>
        </w:rPr>
        <w:t xml:space="preserve"> </w:t>
      </w:r>
      <w:proofErr w:type="gramStart"/>
      <w:r w:rsidR="00FD79D6" w:rsidRPr="003B5500">
        <w:rPr>
          <w:rFonts w:ascii="Times New Roman" w:hAnsi="Times New Roman" w:cs="Times New Roman"/>
          <w:sz w:val="24"/>
          <w:szCs w:val="24"/>
        </w:rPr>
        <w:t>mutually-</w:t>
      </w:r>
      <w:r w:rsidR="00B361E5" w:rsidRPr="003B5500">
        <w:rPr>
          <w:rFonts w:ascii="Times New Roman" w:hAnsi="Times New Roman" w:cs="Times New Roman"/>
          <w:sz w:val="24"/>
          <w:szCs w:val="24"/>
        </w:rPr>
        <w:t>related</w:t>
      </w:r>
      <w:proofErr w:type="gramEnd"/>
      <w:r w:rsidR="00B361E5" w:rsidRPr="003B5500">
        <w:rPr>
          <w:rFonts w:ascii="Times New Roman" w:hAnsi="Times New Roman" w:cs="Times New Roman"/>
          <w:sz w:val="24"/>
          <w:szCs w:val="24"/>
        </w:rPr>
        <w:t xml:space="preserve"> technological skill</w:t>
      </w:r>
      <w:r w:rsidR="00FD79D6" w:rsidRPr="003B5500">
        <w:rPr>
          <w:rFonts w:ascii="Times New Roman" w:hAnsi="Times New Roman" w:cs="Times New Roman"/>
          <w:sz w:val="24"/>
          <w:szCs w:val="24"/>
        </w:rPr>
        <w:t xml:space="preserve">s. One-off and relatively short-term investments by external companies, with </w:t>
      </w:r>
      <w:r w:rsidR="00AF4B79" w:rsidRPr="003B5500">
        <w:rPr>
          <w:rFonts w:ascii="Times New Roman" w:hAnsi="Times New Roman" w:cs="Times New Roman"/>
          <w:sz w:val="24"/>
          <w:szCs w:val="24"/>
        </w:rPr>
        <w:t xml:space="preserve">most </w:t>
      </w:r>
      <w:r w:rsidR="00FD79D6" w:rsidRPr="003B5500">
        <w:rPr>
          <w:rFonts w:ascii="Times New Roman" w:hAnsi="Times New Roman" w:cs="Times New Roman"/>
          <w:sz w:val="24"/>
          <w:szCs w:val="24"/>
        </w:rPr>
        <w:t xml:space="preserve">key research-staff located elsewhere, </w:t>
      </w:r>
      <w:r w:rsidR="00C46802" w:rsidRPr="003B5500">
        <w:rPr>
          <w:rFonts w:ascii="Times New Roman" w:hAnsi="Times New Roman" w:cs="Times New Roman"/>
          <w:sz w:val="24"/>
          <w:szCs w:val="24"/>
        </w:rPr>
        <w:t>will not have this</w:t>
      </w:r>
      <w:r w:rsidR="00FD79D6" w:rsidRPr="003B5500">
        <w:rPr>
          <w:rFonts w:ascii="Times New Roman" w:hAnsi="Times New Roman" w:cs="Times New Roman"/>
          <w:sz w:val="24"/>
          <w:szCs w:val="24"/>
        </w:rPr>
        <w:t xml:space="preserve"> result – particularly when co</w:t>
      </w:r>
      <w:r w:rsidR="00AF4B79" w:rsidRPr="003B5500">
        <w:rPr>
          <w:rFonts w:ascii="Times New Roman" w:hAnsi="Times New Roman" w:cs="Times New Roman"/>
          <w:sz w:val="24"/>
          <w:szCs w:val="24"/>
        </w:rPr>
        <w:t xml:space="preserve">herent and consistent </w:t>
      </w:r>
      <w:r w:rsidR="00FD79D6" w:rsidRPr="003B5500">
        <w:rPr>
          <w:rFonts w:ascii="Times New Roman" w:hAnsi="Times New Roman" w:cs="Times New Roman"/>
          <w:sz w:val="24"/>
          <w:szCs w:val="24"/>
        </w:rPr>
        <w:t>planning involving</w:t>
      </w:r>
      <w:r w:rsidR="004B1ED9" w:rsidRPr="003B5500">
        <w:rPr>
          <w:rFonts w:ascii="Times New Roman" w:hAnsi="Times New Roman" w:cs="Times New Roman"/>
          <w:sz w:val="24"/>
          <w:szCs w:val="24"/>
        </w:rPr>
        <w:t xml:space="preserve"> coherent co-working between</w:t>
      </w:r>
      <w:r w:rsidR="00FD79D6" w:rsidRPr="003B5500">
        <w:rPr>
          <w:rFonts w:ascii="Times New Roman" w:hAnsi="Times New Roman" w:cs="Times New Roman"/>
          <w:sz w:val="24"/>
          <w:szCs w:val="24"/>
        </w:rPr>
        <w:t xml:space="preserve"> Holyrood and Westminster is</w:t>
      </w:r>
      <w:r w:rsidR="00C46802" w:rsidRPr="003B5500">
        <w:rPr>
          <w:rFonts w:ascii="Times New Roman" w:hAnsi="Times New Roman" w:cs="Times New Roman"/>
          <w:sz w:val="24"/>
          <w:szCs w:val="24"/>
        </w:rPr>
        <w:t xml:space="preserve"> unlikely</w:t>
      </w:r>
      <w:r w:rsidR="00FD79D6" w:rsidRPr="003B5500">
        <w:rPr>
          <w:rFonts w:ascii="Times New Roman" w:hAnsi="Times New Roman" w:cs="Times New Roman"/>
          <w:sz w:val="24"/>
          <w:szCs w:val="24"/>
        </w:rPr>
        <w:t>.  And while Johnson’s government do</w:t>
      </w:r>
      <w:r w:rsidR="00C46802" w:rsidRPr="003B5500">
        <w:rPr>
          <w:rFonts w:ascii="Times New Roman" w:hAnsi="Times New Roman" w:cs="Times New Roman"/>
          <w:sz w:val="24"/>
          <w:szCs w:val="24"/>
        </w:rPr>
        <w:t>es</w:t>
      </w:r>
      <w:r w:rsidR="00FD79D6" w:rsidRPr="003B5500">
        <w:rPr>
          <w:rFonts w:ascii="Times New Roman" w:hAnsi="Times New Roman" w:cs="Times New Roman"/>
          <w:sz w:val="24"/>
          <w:szCs w:val="24"/>
        </w:rPr>
        <w:t xml:space="preserve"> talk about community ownership and wealth building, this also in unlikely in circumstances where local government will be under acute financial stress – </w:t>
      </w:r>
      <w:r w:rsidR="00C46802" w:rsidRPr="003B5500">
        <w:rPr>
          <w:rFonts w:ascii="Times New Roman" w:hAnsi="Times New Roman" w:cs="Times New Roman"/>
          <w:sz w:val="24"/>
          <w:szCs w:val="24"/>
        </w:rPr>
        <w:t>either</w:t>
      </w:r>
      <w:r w:rsidR="00E407A3" w:rsidRPr="003B5500">
        <w:rPr>
          <w:rFonts w:ascii="Times New Roman" w:hAnsi="Times New Roman" w:cs="Times New Roman"/>
          <w:sz w:val="24"/>
          <w:szCs w:val="24"/>
        </w:rPr>
        <w:t xml:space="preserve"> </w:t>
      </w:r>
      <w:proofErr w:type="gramStart"/>
      <w:r w:rsidR="00C46802" w:rsidRPr="003B5500">
        <w:rPr>
          <w:rFonts w:ascii="Times New Roman" w:hAnsi="Times New Roman" w:cs="Times New Roman"/>
          <w:sz w:val="24"/>
          <w:szCs w:val="24"/>
        </w:rPr>
        <w:t>as a result of</w:t>
      </w:r>
      <w:proofErr w:type="gramEnd"/>
      <w:r w:rsidR="00C46802" w:rsidRPr="003B5500">
        <w:rPr>
          <w:rFonts w:ascii="Times New Roman" w:hAnsi="Times New Roman" w:cs="Times New Roman"/>
          <w:sz w:val="24"/>
          <w:szCs w:val="24"/>
        </w:rPr>
        <w:t xml:space="preserve"> new cuts</w:t>
      </w:r>
      <w:r w:rsidR="00FD79D6" w:rsidRPr="003B5500">
        <w:rPr>
          <w:rFonts w:ascii="Times New Roman" w:hAnsi="Times New Roman" w:cs="Times New Roman"/>
          <w:sz w:val="24"/>
          <w:szCs w:val="24"/>
        </w:rPr>
        <w:t xml:space="preserve"> or as a result of inflation</w:t>
      </w:r>
      <w:r w:rsidR="00C46802" w:rsidRPr="003B5500">
        <w:rPr>
          <w:rFonts w:ascii="Times New Roman" w:hAnsi="Times New Roman" w:cs="Times New Roman"/>
          <w:sz w:val="24"/>
          <w:szCs w:val="24"/>
        </w:rPr>
        <w:t xml:space="preserve"> or, as is likely, both</w:t>
      </w:r>
      <w:r w:rsidR="00E407A3" w:rsidRPr="003B5500">
        <w:rPr>
          <w:rFonts w:ascii="Times New Roman" w:hAnsi="Times New Roman" w:cs="Times New Roman"/>
          <w:sz w:val="24"/>
          <w:szCs w:val="24"/>
        </w:rPr>
        <w:t>.</w:t>
      </w:r>
    </w:p>
    <w:p w14:paraId="4BBCCE3D" w14:textId="2540CE28" w:rsidR="00FD79D6" w:rsidRPr="003B5500" w:rsidRDefault="00FD79D6" w:rsidP="003B5500">
      <w:pPr>
        <w:pStyle w:val="NoSpacing"/>
        <w:jc w:val="both"/>
        <w:rPr>
          <w:rFonts w:ascii="Times New Roman" w:hAnsi="Times New Roman" w:cs="Times New Roman"/>
          <w:sz w:val="24"/>
          <w:szCs w:val="24"/>
        </w:rPr>
      </w:pPr>
    </w:p>
    <w:p w14:paraId="08E4AC33" w14:textId="6873A782" w:rsidR="00AF4B79" w:rsidRPr="003B5500" w:rsidRDefault="00651684"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What, then, of the political alternatives</w:t>
      </w:r>
      <w:r w:rsidR="00D74969" w:rsidRPr="003B5500">
        <w:rPr>
          <w:rFonts w:ascii="Times New Roman" w:hAnsi="Times New Roman" w:cs="Times New Roman"/>
          <w:sz w:val="24"/>
          <w:szCs w:val="24"/>
        </w:rPr>
        <w:t xml:space="preserve"> – discussed elsewhere in this report but needing some mention here</w:t>
      </w:r>
      <w:r w:rsidRPr="003B5500">
        <w:rPr>
          <w:rFonts w:ascii="Times New Roman" w:hAnsi="Times New Roman" w:cs="Times New Roman"/>
          <w:sz w:val="24"/>
          <w:szCs w:val="24"/>
        </w:rPr>
        <w:t xml:space="preserve">?  </w:t>
      </w:r>
    </w:p>
    <w:p w14:paraId="19EDF1B1" w14:textId="77777777" w:rsidR="00AF4B79" w:rsidRPr="003B5500" w:rsidRDefault="00AF4B79" w:rsidP="003B5500">
      <w:pPr>
        <w:pStyle w:val="NoSpacing"/>
        <w:jc w:val="both"/>
        <w:rPr>
          <w:rFonts w:ascii="Times New Roman" w:hAnsi="Times New Roman" w:cs="Times New Roman"/>
          <w:sz w:val="24"/>
          <w:szCs w:val="24"/>
        </w:rPr>
      </w:pPr>
    </w:p>
    <w:p w14:paraId="42319FC2" w14:textId="009FE2F7" w:rsidR="00FD79D6" w:rsidRPr="003B5500" w:rsidRDefault="00651684"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That offered by the SNP, as embodied in the Growth Commission report, looks increasingly far-fetched.  A</w:t>
      </w:r>
      <w:r w:rsidR="00AF4B79" w:rsidRPr="003B5500">
        <w:rPr>
          <w:rFonts w:ascii="Times New Roman" w:hAnsi="Times New Roman" w:cs="Times New Roman"/>
          <w:sz w:val="24"/>
          <w:szCs w:val="24"/>
        </w:rPr>
        <w:t xml:space="preserve"> now</w:t>
      </w:r>
      <w:r w:rsidRPr="003B5500">
        <w:rPr>
          <w:rFonts w:ascii="Times New Roman" w:hAnsi="Times New Roman" w:cs="Times New Roman"/>
          <w:sz w:val="24"/>
          <w:szCs w:val="24"/>
        </w:rPr>
        <w:t xml:space="preserve"> massively inflated national debt and the loss of the Barnet consequentials would provide </w:t>
      </w:r>
      <w:r w:rsidR="00D6238B" w:rsidRPr="003B5500">
        <w:rPr>
          <w:rFonts w:ascii="Times New Roman" w:hAnsi="Times New Roman" w:cs="Times New Roman"/>
          <w:sz w:val="24"/>
          <w:szCs w:val="24"/>
        </w:rPr>
        <w:t>minimal</w:t>
      </w:r>
      <w:r w:rsidRPr="003B5500">
        <w:rPr>
          <w:rFonts w:ascii="Times New Roman" w:hAnsi="Times New Roman" w:cs="Times New Roman"/>
          <w:sz w:val="24"/>
          <w:szCs w:val="24"/>
        </w:rPr>
        <w:t xml:space="preserve"> scope</w:t>
      </w:r>
      <w:r w:rsidR="00D6238B" w:rsidRPr="003B5500">
        <w:rPr>
          <w:rFonts w:ascii="Times New Roman" w:hAnsi="Times New Roman" w:cs="Times New Roman"/>
          <w:sz w:val="24"/>
          <w:szCs w:val="24"/>
        </w:rPr>
        <w:t xml:space="preserve"> for</w:t>
      </w:r>
      <w:r w:rsidRPr="003B5500">
        <w:rPr>
          <w:rFonts w:ascii="Times New Roman" w:hAnsi="Times New Roman" w:cs="Times New Roman"/>
          <w:sz w:val="24"/>
          <w:szCs w:val="24"/>
        </w:rPr>
        <w:t xml:space="preserve"> </w:t>
      </w:r>
      <w:r w:rsidR="00E75391" w:rsidRPr="003B5500">
        <w:rPr>
          <w:rFonts w:ascii="Times New Roman" w:hAnsi="Times New Roman" w:cs="Times New Roman"/>
          <w:sz w:val="24"/>
          <w:szCs w:val="24"/>
        </w:rPr>
        <w:t xml:space="preserve">government-led investment and </w:t>
      </w:r>
      <w:r w:rsidR="00D6238B" w:rsidRPr="003B5500">
        <w:rPr>
          <w:rFonts w:ascii="Times New Roman" w:hAnsi="Times New Roman" w:cs="Times New Roman"/>
          <w:sz w:val="24"/>
          <w:szCs w:val="24"/>
        </w:rPr>
        <w:t xml:space="preserve">leave </w:t>
      </w:r>
      <w:r w:rsidR="00E75391" w:rsidRPr="003B5500">
        <w:rPr>
          <w:rFonts w:ascii="Times New Roman" w:hAnsi="Times New Roman" w:cs="Times New Roman"/>
          <w:sz w:val="24"/>
          <w:szCs w:val="24"/>
        </w:rPr>
        <w:t xml:space="preserve">a domestic economy with little to attract </w:t>
      </w:r>
      <w:r w:rsidRPr="003B5500">
        <w:rPr>
          <w:rFonts w:ascii="Times New Roman" w:hAnsi="Times New Roman" w:cs="Times New Roman"/>
          <w:sz w:val="24"/>
          <w:szCs w:val="24"/>
        </w:rPr>
        <w:t xml:space="preserve">external </w:t>
      </w:r>
      <w:r w:rsidR="00E75391" w:rsidRPr="003B5500">
        <w:rPr>
          <w:rFonts w:ascii="Times New Roman" w:hAnsi="Times New Roman" w:cs="Times New Roman"/>
          <w:sz w:val="24"/>
          <w:szCs w:val="24"/>
        </w:rPr>
        <w:t>corporate investors</w:t>
      </w:r>
      <w:r w:rsidR="00D6238B" w:rsidRPr="003B5500">
        <w:rPr>
          <w:rFonts w:ascii="Times New Roman" w:hAnsi="Times New Roman" w:cs="Times New Roman"/>
          <w:sz w:val="24"/>
          <w:szCs w:val="24"/>
        </w:rPr>
        <w:t xml:space="preserve"> - </w:t>
      </w:r>
      <w:r w:rsidR="001B3838" w:rsidRPr="003B5500">
        <w:rPr>
          <w:rFonts w:ascii="Times New Roman" w:hAnsi="Times New Roman" w:cs="Times New Roman"/>
          <w:sz w:val="24"/>
          <w:szCs w:val="24"/>
        </w:rPr>
        <w:t>p</w:t>
      </w:r>
      <w:r w:rsidRPr="003B5500">
        <w:rPr>
          <w:rFonts w:ascii="Times New Roman" w:hAnsi="Times New Roman" w:cs="Times New Roman"/>
          <w:sz w:val="24"/>
          <w:szCs w:val="24"/>
        </w:rPr>
        <w:t xml:space="preserve">articularly with a new regulatory barrier covering </w:t>
      </w:r>
      <w:r w:rsidR="00D6238B" w:rsidRPr="003B5500">
        <w:rPr>
          <w:rFonts w:ascii="Times New Roman" w:hAnsi="Times New Roman" w:cs="Times New Roman"/>
          <w:sz w:val="24"/>
          <w:szCs w:val="24"/>
        </w:rPr>
        <w:t xml:space="preserve">the </w:t>
      </w:r>
      <w:r w:rsidRPr="003B5500">
        <w:rPr>
          <w:rFonts w:ascii="Times New Roman" w:hAnsi="Times New Roman" w:cs="Times New Roman"/>
          <w:sz w:val="24"/>
          <w:szCs w:val="24"/>
        </w:rPr>
        <w:t>60 percent of exports</w:t>
      </w:r>
      <w:r w:rsidR="00D6238B" w:rsidRPr="003B5500">
        <w:rPr>
          <w:rFonts w:ascii="Times New Roman" w:hAnsi="Times New Roman" w:cs="Times New Roman"/>
          <w:sz w:val="24"/>
          <w:szCs w:val="24"/>
        </w:rPr>
        <w:t xml:space="preserve"> going south of the border</w:t>
      </w:r>
      <w:r w:rsidR="00847BAD" w:rsidRPr="003B5500">
        <w:rPr>
          <w:rFonts w:ascii="Times New Roman" w:hAnsi="Times New Roman" w:cs="Times New Roman"/>
          <w:sz w:val="24"/>
          <w:szCs w:val="24"/>
        </w:rPr>
        <w:t>.</w:t>
      </w:r>
      <w:r w:rsidR="00871A1B" w:rsidRPr="003B5500">
        <w:rPr>
          <w:rFonts w:ascii="Times New Roman" w:hAnsi="Times New Roman" w:cs="Times New Roman"/>
          <w:sz w:val="24"/>
          <w:szCs w:val="24"/>
        </w:rPr>
        <w:t xml:space="preserve"> </w:t>
      </w:r>
      <w:r w:rsidRPr="003B5500">
        <w:rPr>
          <w:rFonts w:ascii="Times New Roman" w:hAnsi="Times New Roman" w:cs="Times New Roman"/>
          <w:sz w:val="24"/>
          <w:szCs w:val="24"/>
        </w:rPr>
        <w:t>Even the</w:t>
      </w:r>
      <w:r w:rsidR="00847BAD" w:rsidRPr="003B5500">
        <w:rPr>
          <w:rFonts w:ascii="Times New Roman" w:hAnsi="Times New Roman" w:cs="Times New Roman"/>
          <w:sz w:val="24"/>
          <w:szCs w:val="24"/>
        </w:rPr>
        <w:t xml:space="preserve"> </w:t>
      </w:r>
      <w:r w:rsidR="00E407A3" w:rsidRPr="003B5500">
        <w:rPr>
          <w:rFonts w:ascii="Times New Roman" w:hAnsi="Times New Roman" w:cs="Times New Roman"/>
          <w:sz w:val="24"/>
          <w:szCs w:val="24"/>
        </w:rPr>
        <w:t xml:space="preserve">golden </w:t>
      </w:r>
      <w:r w:rsidR="00847BAD" w:rsidRPr="003B5500">
        <w:rPr>
          <w:rFonts w:ascii="Times New Roman" w:hAnsi="Times New Roman" w:cs="Times New Roman"/>
          <w:sz w:val="24"/>
          <w:szCs w:val="24"/>
        </w:rPr>
        <w:t>prospect of international banks switching from London to Edinburgh</w:t>
      </w:r>
      <w:r w:rsidR="00871A1B" w:rsidRPr="003B5500">
        <w:rPr>
          <w:rFonts w:ascii="Times New Roman" w:hAnsi="Times New Roman" w:cs="Times New Roman"/>
          <w:sz w:val="24"/>
          <w:szCs w:val="24"/>
        </w:rPr>
        <w:t>, a key element in the Growth Commission Report,</w:t>
      </w:r>
      <w:r w:rsidR="00847BAD" w:rsidRPr="003B5500">
        <w:rPr>
          <w:rFonts w:ascii="Times New Roman" w:hAnsi="Times New Roman" w:cs="Times New Roman"/>
          <w:sz w:val="24"/>
          <w:szCs w:val="24"/>
        </w:rPr>
        <w:t xml:space="preserve"> </w:t>
      </w:r>
      <w:r w:rsidR="00E75391" w:rsidRPr="003B5500">
        <w:rPr>
          <w:rFonts w:ascii="Times New Roman" w:hAnsi="Times New Roman" w:cs="Times New Roman"/>
          <w:sz w:val="24"/>
          <w:szCs w:val="24"/>
        </w:rPr>
        <w:t xml:space="preserve">now </w:t>
      </w:r>
      <w:r w:rsidR="00847BAD" w:rsidRPr="003B5500">
        <w:rPr>
          <w:rFonts w:ascii="Times New Roman" w:hAnsi="Times New Roman" w:cs="Times New Roman"/>
          <w:sz w:val="24"/>
          <w:szCs w:val="24"/>
        </w:rPr>
        <w:t xml:space="preserve">looks </w:t>
      </w:r>
      <w:r w:rsidR="00E75391" w:rsidRPr="003B5500">
        <w:rPr>
          <w:rFonts w:ascii="Times New Roman" w:hAnsi="Times New Roman" w:cs="Times New Roman"/>
          <w:sz w:val="24"/>
          <w:szCs w:val="24"/>
        </w:rPr>
        <w:t>extremely unlikely</w:t>
      </w:r>
      <w:r w:rsidR="00847BAD" w:rsidRPr="003B5500">
        <w:rPr>
          <w:rFonts w:ascii="Times New Roman" w:hAnsi="Times New Roman" w:cs="Times New Roman"/>
          <w:sz w:val="24"/>
          <w:szCs w:val="24"/>
        </w:rPr>
        <w:t xml:space="preserve">. Any relocation </w:t>
      </w:r>
      <w:r w:rsidR="00AF4B79" w:rsidRPr="003B5500">
        <w:rPr>
          <w:rFonts w:ascii="Times New Roman" w:hAnsi="Times New Roman" w:cs="Times New Roman"/>
          <w:sz w:val="24"/>
          <w:szCs w:val="24"/>
        </w:rPr>
        <w:t xml:space="preserve">from London </w:t>
      </w:r>
      <w:r w:rsidR="00847BAD" w:rsidRPr="003B5500">
        <w:rPr>
          <w:rFonts w:ascii="Times New Roman" w:hAnsi="Times New Roman" w:cs="Times New Roman"/>
          <w:sz w:val="24"/>
          <w:szCs w:val="24"/>
        </w:rPr>
        <w:t xml:space="preserve">will have </w:t>
      </w:r>
      <w:r w:rsidR="00E75391" w:rsidRPr="003B5500">
        <w:rPr>
          <w:rFonts w:ascii="Times New Roman" w:hAnsi="Times New Roman" w:cs="Times New Roman"/>
          <w:sz w:val="24"/>
          <w:szCs w:val="24"/>
        </w:rPr>
        <w:t xml:space="preserve">already </w:t>
      </w:r>
      <w:r w:rsidR="00847BAD" w:rsidRPr="003B5500">
        <w:rPr>
          <w:rFonts w:ascii="Times New Roman" w:hAnsi="Times New Roman" w:cs="Times New Roman"/>
          <w:sz w:val="24"/>
          <w:szCs w:val="24"/>
        </w:rPr>
        <w:t>taken place – to Dublin, Amsterdam and Paris.</w:t>
      </w:r>
      <w:r w:rsidR="00E407A3" w:rsidRPr="003B5500">
        <w:rPr>
          <w:rFonts w:ascii="Times New Roman" w:hAnsi="Times New Roman" w:cs="Times New Roman"/>
          <w:sz w:val="24"/>
          <w:szCs w:val="24"/>
        </w:rPr>
        <w:t xml:space="preserve"> And Scotland would once more be saddled with EU regulations on state aid</w:t>
      </w:r>
      <w:r w:rsidR="00D74969" w:rsidRPr="003B5500">
        <w:rPr>
          <w:rFonts w:ascii="Times New Roman" w:hAnsi="Times New Roman" w:cs="Times New Roman"/>
          <w:sz w:val="24"/>
          <w:szCs w:val="24"/>
        </w:rPr>
        <w:t>,</w:t>
      </w:r>
      <w:r w:rsidR="00E407A3" w:rsidRPr="003B5500">
        <w:rPr>
          <w:rFonts w:ascii="Times New Roman" w:hAnsi="Times New Roman" w:cs="Times New Roman"/>
          <w:sz w:val="24"/>
          <w:szCs w:val="24"/>
        </w:rPr>
        <w:t xml:space="preserve"> procurement</w:t>
      </w:r>
      <w:r w:rsidR="00D74969" w:rsidRPr="003B5500">
        <w:rPr>
          <w:rFonts w:ascii="Times New Roman" w:hAnsi="Times New Roman" w:cs="Times New Roman"/>
          <w:sz w:val="24"/>
          <w:szCs w:val="24"/>
        </w:rPr>
        <w:t xml:space="preserve"> and bans on comprehensive public ownership</w:t>
      </w:r>
      <w:r w:rsidR="00E407A3" w:rsidRPr="003B5500">
        <w:rPr>
          <w:rFonts w:ascii="Times New Roman" w:hAnsi="Times New Roman" w:cs="Times New Roman"/>
          <w:sz w:val="24"/>
          <w:szCs w:val="24"/>
        </w:rPr>
        <w:t>.</w:t>
      </w:r>
    </w:p>
    <w:p w14:paraId="4E201953" w14:textId="4078691C" w:rsidR="00847BAD" w:rsidRPr="003B5500" w:rsidRDefault="00847BAD" w:rsidP="003B5500">
      <w:pPr>
        <w:pStyle w:val="NoSpacing"/>
        <w:jc w:val="both"/>
        <w:rPr>
          <w:rFonts w:ascii="Times New Roman" w:hAnsi="Times New Roman" w:cs="Times New Roman"/>
          <w:sz w:val="24"/>
          <w:szCs w:val="24"/>
        </w:rPr>
      </w:pPr>
    </w:p>
    <w:p w14:paraId="66652D7D" w14:textId="37EE0B02" w:rsidR="00847BAD" w:rsidRPr="003B5500" w:rsidRDefault="00847BAD"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 xml:space="preserve">So what of the public </w:t>
      </w:r>
      <w:proofErr w:type="gramStart"/>
      <w:r w:rsidRPr="003B5500">
        <w:rPr>
          <w:rFonts w:ascii="Times New Roman" w:hAnsi="Times New Roman" w:cs="Times New Roman"/>
          <w:sz w:val="24"/>
          <w:szCs w:val="24"/>
        </w:rPr>
        <w:t>sector based</w:t>
      </w:r>
      <w:proofErr w:type="gramEnd"/>
      <w:r w:rsidRPr="003B5500">
        <w:rPr>
          <w:rFonts w:ascii="Times New Roman" w:hAnsi="Times New Roman" w:cs="Times New Roman"/>
          <w:sz w:val="24"/>
          <w:szCs w:val="24"/>
        </w:rPr>
        <w:t xml:space="preserve"> alternative</w:t>
      </w:r>
      <w:r w:rsidR="00E75391" w:rsidRPr="003B5500">
        <w:rPr>
          <w:rFonts w:ascii="Times New Roman" w:hAnsi="Times New Roman" w:cs="Times New Roman"/>
          <w:sz w:val="24"/>
          <w:szCs w:val="24"/>
        </w:rPr>
        <w:t xml:space="preserve"> </w:t>
      </w:r>
      <w:r w:rsidR="00871A1B" w:rsidRPr="003B5500">
        <w:rPr>
          <w:rFonts w:ascii="Times New Roman" w:hAnsi="Times New Roman" w:cs="Times New Roman"/>
          <w:sz w:val="24"/>
          <w:szCs w:val="24"/>
        </w:rPr>
        <w:t xml:space="preserve">as </w:t>
      </w:r>
      <w:r w:rsidR="00E75391" w:rsidRPr="003B5500">
        <w:rPr>
          <w:rFonts w:ascii="Times New Roman" w:hAnsi="Times New Roman" w:cs="Times New Roman"/>
          <w:sz w:val="24"/>
          <w:szCs w:val="24"/>
        </w:rPr>
        <w:t>outlined</w:t>
      </w:r>
      <w:r w:rsidRPr="003B5500">
        <w:rPr>
          <w:rFonts w:ascii="Times New Roman" w:hAnsi="Times New Roman" w:cs="Times New Roman"/>
          <w:sz w:val="24"/>
          <w:szCs w:val="24"/>
        </w:rPr>
        <w:t xml:space="preserve"> by Labour in its 2019 election manifesto – still the basis of current policy</w:t>
      </w:r>
      <w:r w:rsidR="00E407A3" w:rsidRPr="003B5500">
        <w:rPr>
          <w:rFonts w:ascii="Times New Roman" w:hAnsi="Times New Roman" w:cs="Times New Roman"/>
          <w:sz w:val="24"/>
          <w:szCs w:val="24"/>
        </w:rPr>
        <w:t xml:space="preserve"> and now made much more feasible outside the EU</w:t>
      </w:r>
      <w:r w:rsidRPr="003B5500">
        <w:rPr>
          <w:rFonts w:ascii="Times New Roman" w:hAnsi="Times New Roman" w:cs="Times New Roman"/>
          <w:sz w:val="24"/>
          <w:szCs w:val="24"/>
        </w:rPr>
        <w:t>?</w:t>
      </w:r>
    </w:p>
    <w:p w14:paraId="575B1A90" w14:textId="5D16E685" w:rsidR="00C46802" w:rsidRPr="003B5500" w:rsidRDefault="00C46802" w:rsidP="003B5500">
      <w:pPr>
        <w:pStyle w:val="NoSpacing"/>
        <w:jc w:val="both"/>
        <w:rPr>
          <w:rFonts w:ascii="Times New Roman" w:hAnsi="Times New Roman" w:cs="Times New Roman"/>
          <w:sz w:val="24"/>
          <w:szCs w:val="24"/>
        </w:rPr>
      </w:pPr>
    </w:p>
    <w:p w14:paraId="65100598" w14:textId="0D86E253" w:rsidR="007D174A" w:rsidRPr="003B5500" w:rsidRDefault="00E75391" w:rsidP="003B5500">
      <w:pPr>
        <w:pStyle w:val="NoSpacing"/>
        <w:jc w:val="both"/>
        <w:rPr>
          <w:rFonts w:ascii="Times New Roman" w:hAnsi="Times New Roman" w:cs="Times New Roman"/>
          <w:sz w:val="24"/>
          <w:szCs w:val="24"/>
        </w:rPr>
      </w:pPr>
      <w:r w:rsidRPr="003B5500">
        <w:rPr>
          <w:rFonts w:ascii="Times New Roman" w:hAnsi="Times New Roman" w:cs="Times New Roman"/>
          <w:sz w:val="24"/>
          <w:szCs w:val="24"/>
        </w:rPr>
        <w:t xml:space="preserve">The </w:t>
      </w:r>
      <w:r w:rsidR="00D85BD8" w:rsidRPr="003B5500">
        <w:rPr>
          <w:rFonts w:ascii="Times New Roman" w:hAnsi="Times New Roman" w:cs="Times New Roman"/>
          <w:sz w:val="24"/>
          <w:szCs w:val="24"/>
        </w:rPr>
        <w:t xml:space="preserve">first </w:t>
      </w:r>
      <w:r w:rsidRPr="003B5500">
        <w:rPr>
          <w:rFonts w:ascii="Times New Roman" w:hAnsi="Times New Roman" w:cs="Times New Roman"/>
          <w:sz w:val="24"/>
          <w:szCs w:val="24"/>
        </w:rPr>
        <w:t>key element that distinguishe</w:t>
      </w:r>
      <w:r w:rsidR="00871A1B" w:rsidRPr="003B5500">
        <w:rPr>
          <w:rFonts w:ascii="Times New Roman" w:hAnsi="Times New Roman" w:cs="Times New Roman"/>
          <w:sz w:val="24"/>
          <w:szCs w:val="24"/>
        </w:rPr>
        <w:t>s</w:t>
      </w:r>
      <w:r w:rsidRPr="003B5500">
        <w:rPr>
          <w:rFonts w:ascii="Times New Roman" w:hAnsi="Times New Roman" w:cs="Times New Roman"/>
          <w:sz w:val="24"/>
          <w:szCs w:val="24"/>
        </w:rPr>
        <w:t xml:space="preserve"> Labour’s industrial plans from those of Johnson </w:t>
      </w:r>
      <w:r w:rsidR="00D6238B" w:rsidRPr="003B5500">
        <w:rPr>
          <w:rFonts w:ascii="Times New Roman" w:hAnsi="Times New Roman" w:cs="Times New Roman"/>
          <w:sz w:val="24"/>
          <w:szCs w:val="24"/>
        </w:rPr>
        <w:t>concerns</w:t>
      </w:r>
      <w:r w:rsidR="00D85BD8" w:rsidRPr="003B5500">
        <w:rPr>
          <w:rFonts w:ascii="Times New Roman" w:hAnsi="Times New Roman" w:cs="Times New Roman"/>
          <w:sz w:val="24"/>
          <w:szCs w:val="24"/>
        </w:rPr>
        <w:t xml:space="preserve"> the City of London</w:t>
      </w:r>
      <w:r w:rsidR="00D6238B" w:rsidRPr="003B5500">
        <w:rPr>
          <w:rFonts w:ascii="Times New Roman" w:hAnsi="Times New Roman" w:cs="Times New Roman"/>
          <w:sz w:val="24"/>
          <w:szCs w:val="24"/>
        </w:rPr>
        <w:t>.  There w</w:t>
      </w:r>
      <w:r w:rsidR="00FA6567" w:rsidRPr="003B5500">
        <w:rPr>
          <w:rFonts w:ascii="Times New Roman" w:hAnsi="Times New Roman" w:cs="Times New Roman"/>
          <w:sz w:val="24"/>
          <w:szCs w:val="24"/>
        </w:rPr>
        <w:t>ould be</w:t>
      </w:r>
      <w:r w:rsidR="00D6238B" w:rsidRPr="003B5500">
        <w:rPr>
          <w:rFonts w:ascii="Times New Roman" w:hAnsi="Times New Roman" w:cs="Times New Roman"/>
          <w:sz w:val="24"/>
          <w:szCs w:val="24"/>
        </w:rPr>
        <w:t xml:space="preserve"> no automatic prioritisation given to paying down the </w:t>
      </w:r>
      <w:r w:rsidR="00D85BD8" w:rsidRPr="003B5500">
        <w:rPr>
          <w:rFonts w:ascii="Times New Roman" w:hAnsi="Times New Roman" w:cs="Times New Roman"/>
          <w:sz w:val="24"/>
          <w:szCs w:val="24"/>
        </w:rPr>
        <w:t xml:space="preserve">national debt and </w:t>
      </w:r>
      <w:r w:rsidR="00871A1B" w:rsidRPr="003B5500">
        <w:rPr>
          <w:rFonts w:ascii="Times New Roman" w:hAnsi="Times New Roman" w:cs="Times New Roman"/>
          <w:sz w:val="24"/>
          <w:szCs w:val="24"/>
        </w:rPr>
        <w:t xml:space="preserve">defending </w:t>
      </w:r>
      <w:r w:rsidR="00D6238B" w:rsidRPr="003B5500">
        <w:rPr>
          <w:rFonts w:ascii="Times New Roman" w:hAnsi="Times New Roman" w:cs="Times New Roman"/>
          <w:sz w:val="24"/>
          <w:szCs w:val="24"/>
        </w:rPr>
        <w:t xml:space="preserve">the value of </w:t>
      </w:r>
      <w:r w:rsidR="00D85BD8" w:rsidRPr="003B5500">
        <w:rPr>
          <w:rFonts w:ascii="Times New Roman" w:hAnsi="Times New Roman" w:cs="Times New Roman"/>
          <w:sz w:val="24"/>
          <w:szCs w:val="24"/>
        </w:rPr>
        <w:t>sterling</w:t>
      </w:r>
      <w:r w:rsidR="00871A1B" w:rsidRPr="003B5500">
        <w:rPr>
          <w:rFonts w:ascii="Times New Roman" w:hAnsi="Times New Roman" w:cs="Times New Roman"/>
          <w:sz w:val="24"/>
          <w:szCs w:val="24"/>
        </w:rPr>
        <w:t xml:space="preserve">.  This means that there would be </w:t>
      </w:r>
      <w:r w:rsidR="00D6238B" w:rsidRPr="003B5500">
        <w:rPr>
          <w:rFonts w:ascii="Times New Roman" w:hAnsi="Times New Roman" w:cs="Times New Roman"/>
          <w:sz w:val="24"/>
          <w:szCs w:val="24"/>
        </w:rPr>
        <w:t xml:space="preserve">correspondingly greater scope for </w:t>
      </w:r>
      <w:r w:rsidR="00871A1B" w:rsidRPr="003B5500">
        <w:rPr>
          <w:rFonts w:ascii="Times New Roman" w:hAnsi="Times New Roman" w:cs="Times New Roman"/>
          <w:sz w:val="24"/>
          <w:szCs w:val="24"/>
        </w:rPr>
        <w:t xml:space="preserve">longer-term funding </w:t>
      </w:r>
      <w:r w:rsidR="00D6238B" w:rsidRPr="003B5500">
        <w:rPr>
          <w:rFonts w:ascii="Times New Roman" w:hAnsi="Times New Roman" w:cs="Times New Roman"/>
          <w:sz w:val="24"/>
          <w:szCs w:val="24"/>
        </w:rPr>
        <w:t>i</w:t>
      </w:r>
      <w:r w:rsidR="00D85BD8" w:rsidRPr="003B5500">
        <w:rPr>
          <w:rFonts w:ascii="Times New Roman" w:hAnsi="Times New Roman" w:cs="Times New Roman"/>
          <w:sz w:val="24"/>
          <w:szCs w:val="24"/>
        </w:rPr>
        <w:t>ndustrial and</w:t>
      </w:r>
      <w:r w:rsidR="00871A1B" w:rsidRPr="003B5500">
        <w:rPr>
          <w:rFonts w:ascii="Times New Roman" w:hAnsi="Times New Roman" w:cs="Times New Roman"/>
          <w:sz w:val="24"/>
          <w:szCs w:val="24"/>
        </w:rPr>
        <w:t xml:space="preserve"> wider</w:t>
      </w:r>
      <w:r w:rsidR="00D85BD8" w:rsidRPr="003B5500">
        <w:rPr>
          <w:rFonts w:ascii="Times New Roman" w:hAnsi="Times New Roman" w:cs="Times New Roman"/>
          <w:sz w:val="24"/>
          <w:szCs w:val="24"/>
        </w:rPr>
        <w:t xml:space="preserve"> economic regeneration</w:t>
      </w:r>
      <w:r w:rsidR="006130CD" w:rsidRPr="003B5500">
        <w:rPr>
          <w:rFonts w:ascii="Times New Roman" w:hAnsi="Times New Roman" w:cs="Times New Roman"/>
          <w:sz w:val="24"/>
          <w:szCs w:val="24"/>
        </w:rPr>
        <w:t xml:space="preserve"> – themselves the key to long-term defence of the currency</w:t>
      </w:r>
      <w:r w:rsidR="00D6238B" w:rsidRPr="003B5500">
        <w:rPr>
          <w:rFonts w:ascii="Times New Roman" w:hAnsi="Times New Roman" w:cs="Times New Roman"/>
          <w:sz w:val="24"/>
          <w:szCs w:val="24"/>
        </w:rPr>
        <w:t>.</w:t>
      </w:r>
      <w:r w:rsidR="00D85BD8" w:rsidRPr="003B5500">
        <w:rPr>
          <w:rFonts w:ascii="Times New Roman" w:hAnsi="Times New Roman" w:cs="Times New Roman"/>
          <w:sz w:val="24"/>
          <w:szCs w:val="24"/>
        </w:rPr>
        <w:t xml:space="preserve"> </w:t>
      </w:r>
      <w:r w:rsidR="00D6238B" w:rsidRPr="003B5500">
        <w:rPr>
          <w:rFonts w:ascii="Times New Roman" w:hAnsi="Times New Roman" w:cs="Times New Roman"/>
          <w:sz w:val="24"/>
          <w:szCs w:val="24"/>
        </w:rPr>
        <w:t xml:space="preserve">The </w:t>
      </w:r>
      <w:r w:rsidR="00D85BD8" w:rsidRPr="003B5500">
        <w:rPr>
          <w:rFonts w:ascii="Times New Roman" w:hAnsi="Times New Roman" w:cs="Times New Roman"/>
          <w:sz w:val="24"/>
          <w:szCs w:val="24"/>
        </w:rPr>
        <w:t xml:space="preserve">second element </w:t>
      </w:r>
      <w:r w:rsidR="006130CD" w:rsidRPr="003B5500">
        <w:rPr>
          <w:rFonts w:ascii="Times New Roman" w:hAnsi="Times New Roman" w:cs="Times New Roman"/>
          <w:sz w:val="24"/>
          <w:szCs w:val="24"/>
        </w:rPr>
        <w:t>would</w:t>
      </w:r>
      <w:r w:rsidR="004B1ED9" w:rsidRPr="003B5500">
        <w:rPr>
          <w:rFonts w:ascii="Times New Roman" w:hAnsi="Times New Roman" w:cs="Times New Roman"/>
          <w:sz w:val="24"/>
          <w:szCs w:val="24"/>
        </w:rPr>
        <w:t xml:space="preserve"> be</w:t>
      </w:r>
      <w:r w:rsidR="006130CD" w:rsidRPr="003B5500">
        <w:rPr>
          <w:rFonts w:ascii="Times New Roman" w:hAnsi="Times New Roman" w:cs="Times New Roman"/>
          <w:sz w:val="24"/>
          <w:szCs w:val="24"/>
        </w:rPr>
        <w:t xml:space="preserve"> </w:t>
      </w:r>
      <w:r w:rsidR="00FA6567" w:rsidRPr="003B5500">
        <w:rPr>
          <w:rFonts w:ascii="Times New Roman" w:hAnsi="Times New Roman" w:cs="Times New Roman"/>
          <w:sz w:val="24"/>
          <w:szCs w:val="24"/>
        </w:rPr>
        <w:t xml:space="preserve">genuinely democratic and collective participation.  </w:t>
      </w:r>
      <w:r w:rsidR="00871A1B" w:rsidRPr="003B5500">
        <w:rPr>
          <w:rFonts w:ascii="Times New Roman" w:hAnsi="Times New Roman" w:cs="Times New Roman"/>
          <w:sz w:val="24"/>
          <w:szCs w:val="24"/>
        </w:rPr>
        <w:t>P</w:t>
      </w:r>
      <w:r w:rsidR="00FA6567" w:rsidRPr="003B5500">
        <w:rPr>
          <w:rFonts w:ascii="Times New Roman" w:hAnsi="Times New Roman" w:cs="Times New Roman"/>
          <w:sz w:val="24"/>
          <w:szCs w:val="24"/>
        </w:rPr>
        <w:t xml:space="preserve">ublic ownership would </w:t>
      </w:r>
      <w:r w:rsidR="00871A1B" w:rsidRPr="003B5500">
        <w:rPr>
          <w:rFonts w:ascii="Times New Roman" w:hAnsi="Times New Roman" w:cs="Times New Roman"/>
          <w:sz w:val="24"/>
          <w:szCs w:val="24"/>
        </w:rPr>
        <w:t xml:space="preserve">be restored across services vital for both communities and industry </w:t>
      </w:r>
      <w:r w:rsidR="004B1ED9" w:rsidRPr="003B5500">
        <w:rPr>
          <w:rFonts w:ascii="Times New Roman" w:hAnsi="Times New Roman" w:cs="Times New Roman"/>
          <w:sz w:val="24"/>
          <w:szCs w:val="24"/>
        </w:rPr>
        <w:t>–</w:t>
      </w:r>
      <w:r w:rsidR="00871A1B" w:rsidRPr="003B5500">
        <w:rPr>
          <w:rFonts w:ascii="Times New Roman" w:hAnsi="Times New Roman" w:cs="Times New Roman"/>
          <w:sz w:val="24"/>
          <w:szCs w:val="24"/>
        </w:rPr>
        <w:t xml:space="preserve"> </w:t>
      </w:r>
      <w:r w:rsidR="004B1ED9" w:rsidRPr="003B5500">
        <w:rPr>
          <w:rFonts w:ascii="Times New Roman" w:hAnsi="Times New Roman" w:cs="Times New Roman"/>
          <w:sz w:val="24"/>
          <w:szCs w:val="24"/>
        </w:rPr>
        <w:t xml:space="preserve">gas and electric </w:t>
      </w:r>
      <w:r w:rsidR="00871A1B" w:rsidRPr="003B5500">
        <w:rPr>
          <w:rFonts w:ascii="Times New Roman" w:hAnsi="Times New Roman" w:cs="Times New Roman"/>
          <w:sz w:val="24"/>
          <w:szCs w:val="24"/>
        </w:rPr>
        <w:t>power,</w:t>
      </w:r>
      <w:r w:rsidR="004B1ED9" w:rsidRPr="003B5500">
        <w:rPr>
          <w:rFonts w:ascii="Times New Roman" w:hAnsi="Times New Roman" w:cs="Times New Roman"/>
          <w:sz w:val="24"/>
          <w:szCs w:val="24"/>
        </w:rPr>
        <w:t xml:space="preserve"> rail, ferry and bus</w:t>
      </w:r>
      <w:r w:rsidR="00871A1B" w:rsidRPr="003B5500">
        <w:rPr>
          <w:rFonts w:ascii="Times New Roman" w:hAnsi="Times New Roman" w:cs="Times New Roman"/>
          <w:sz w:val="24"/>
          <w:szCs w:val="24"/>
        </w:rPr>
        <w:t xml:space="preserve"> transport, </w:t>
      </w:r>
      <w:r w:rsidR="004B1ED9" w:rsidRPr="003B5500">
        <w:rPr>
          <w:rFonts w:ascii="Times New Roman" w:hAnsi="Times New Roman" w:cs="Times New Roman"/>
          <w:sz w:val="24"/>
          <w:szCs w:val="24"/>
        </w:rPr>
        <w:t xml:space="preserve">postal services and </w:t>
      </w:r>
      <w:r w:rsidR="00871A1B" w:rsidRPr="003B5500">
        <w:rPr>
          <w:rFonts w:ascii="Times New Roman" w:hAnsi="Times New Roman" w:cs="Times New Roman"/>
          <w:sz w:val="24"/>
          <w:szCs w:val="24"/>
        </w:rPr>
        <w:t>communications</w:t>
      </w:r>
      <w:r w:rsidR="006130CD" w:rsidRPr="003B5500">
        <w:rPr>
          <w:rFonts w:ascii="Times New Roman" w:hAnsi="Times New Roman" w:cs="Times New Roman"/>
          <w:sz w:val="24"/>
          <w:szCs w:val="24"/>
        </w:rPr>
        <w:t xml:space="preserve">.  State shareholdings in key companies (together with trade unions represented </w:t>
      </w:r>
      <w:r w:rsidR="004B1ED9" w:rsidRPr="003B5500">
        <w:rPr>
          <w:rFonts w:ascii="Times New Roman" w:hAnsi="Times New Roman" w:cs="Times New Roman"/>
          <w:sz w:val="24"/>
          <w:szCs w:val="24"/>
        </w:rPr>
        <w:t>on</w:t>
      </w:r>
      <w:r w:rsidR="006130CD" w:rsidRPr="003B5500">
        <w:rPr>
          <w:rFonts w:ascii="Times New Roman" w:hAnsi="Times New Roman" w:cs="Times New Roman"/>
          <w:sz w:val="24"/>
          <w:szCs w:val="24"/>
        </w:rPr>
        <w:t xml:space="preserve"> company boards) would provide a safeguard against the short-term extraction of shareholder income.  Genuinely community </w:t>
      </w:r>
      <w:r w:rsidR="006130CD" w:rsidRPr="003B5500">
        <w:rPr>
          <w:rFonts w:ascii="Times New Roman" w:hAnsi="Times New Roman" w:cs="Times New Roman"/>
          <w:sz w:val="24"/>
          <w:szCs w:val="24"/>
        </w:rPr>
        <w:lastRenderedPageBreak/>
        <w:t xml:space="preserve">ownership would </w:t>
      </w:r>
      <w:r w:rsidR="00792129" w:rsidRPr="003B5500">
        <w:rPr>
          <w:rFonts w:ascii="Times New Roman" w:hAnsi="Times New Roman" w:cs="Times New Roman"/>
          <w:sz w:val="24"/>
          <w:szCs w:val="24"/>
        </w:rPr>
        <w:t xml:space="preserve">also </w:t>
      </w:r>
      <w:r w:rsidR="006130CD" w:rsidRPr="003B5500">
        <w:rPr>
          <w:rFonts w:ascii="Times New Roman" w:hAnsi="Times New Roman" w:cs="Times New Roman"/>
          <w:sz w:val="24"/>
          <w:szCs w:val="24"/>
        </w:rPr>
        <w:t xml:space="preserve">be backed financially. </w:t>
      </w:r>
      <w:r w:rsidR="00792129" w:rsidRPr="003B5500">
        <w:rPr>
          <w:rFonts w:ascii="Times New Roman" w:hAnsi="Times New Roman" w:cs="Times New Roman"/>
          <w:sz w:val="24"/>
          <w:szCs w:val="24"/>
        </w:rPr>
        <w:t xml:space="preserve">All this was pledged in Labour’s 2019 election programme. </w:t>
      </w:r>
    </w:p>
    <w:p w14:paraId="2B02E5EA" w14:textId="77777777" w:rsidR="007D174A" w:rsidRPr="003B5500" w:rsidRDefault="007D174A" w:rsidP="003B5500">
      <w:pPr>
        <w:pStyle w:val="NoSpacing"/>
        <w:jc w:val="both"/>
        <w:rPr>
          <w:rFonts w:ascii="Times New Roman" w:hAnsi="Times New Roman" w:cs="Times New Roman"/>
          <w:sz w:val="24"/>
          <w:szCs w:val="24"/>
        </w:rPr>
      </w:pPr>
    </w:p>
    <w:sectPr w:rsidR="007D174A" w:rsidRPr="003B5500">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F59F" w14:textId="77777777" w:rsidR="00505E27" w:rsidRDefault="00505E27" w:rsidP="00075679">
      <w:pPr>
        <w:spacing w:after="0" w:line="240" w:lineRule="auto"/>
      </w:pPr>
      <w:r>
        <w:separator/>
      </w:r>
    </w:p>
  </w:endnote>
  <w:endnote w:type="continuationSeparator" w:id="0">
    <w:p w14:paraId="26DCFF92" w14:textId="77777777" w:rsidR="00505E27" w:rsidRDefault="00505E27" w:rsidP="00075679">
      <w:pPr>
        <w:spacing w:after="0" w:line="240" w:lineRule="auto"/>
      </w:pPr>
      <w:r>
        <w:continuationSeparator/>
      </w:r>
    </w:p>
  </w:endnote>
  <w:endnote w:id="1">
    <w:p w14:paraId="2ABAE151" w14:textId="31B14F9B" w:rsidR="003B5500" w:rsidRDefault="003B5500">
      <w:pPr>
        <w:pStyle w:val="EndnoteText"/>
      </w:pPr>
      <w:r>
        <w:rPr>
          <w:rStyle w:val="EndnoteReference"/>
        </w:rPr>
        <w:endnoteRef/>
      </w:r>
      <w:r>
        <w:t xml:space="preserve"> The initial text of the Bill: </w:t>
      </w:r>
      <w:r w:rsidRPr="00075679">
        <w:t>https://publications.parliament.uk/pa/bills/cbill/58-02/0135/210135.pdf</w:t>
      </w:r>
    </w:p>
  </w:endnote>
  <w:endnote w:id="2">
    <w:p w14:paraId="7DC7C404" w14:textId="0CBCC237" w:rsidR="003B5500" w:rsidRDefault="003B5500">
      <w:pPr>
        <w:pStyle w:val="EndnoteText"/>
      </w:pPr>
      <w:r>
        <w:rPr>
          <w:rStyle w:val="EndnoteReference"/>
        </w:rPr>
        <w:endnoteRef/>
      </w:r>
      <w:r>
        <w:t xml:space="preserve"> The Green Paper consultation  can be found here </w:t>
      </w:r>
      <w:hyperlink r:id="rId1" w:history="1">
        <w:r w:rsidRPr="006C6C8D">
          <w:rPr>
            <w:rStyle w:val="Hyperlink"/>
          </w:rPr>
          <w:t>https://assets.publishing.service.gov.uk/government/uploads/system/uploads/attachment_data/file/943946/Transforming_public_procurement.pdf</w:t>
        </w:r>
      </w:hyperlink>
      <w:r>
        <w:t xml:space="preserve">; </w:t>
      </w:r>
      <w:bookmarkStart w:id="0" w:name="_Hlk78705331"/>
      <w:r>
        <w:t xml:space="preserve">Unite’s response is available here </w:t>
      </w:r>
      <w:r w:rsidRPr="00075679">
        <w:t>https://www.politicshome.com/ugc-1/1/4/0/unite_submission_to_the_cabinet_offi.pdf</w:t>
      </w:r>
    </w:p>
    <w:bookmarkEnd w:id="0"/>
  </w:endnote>
  <w:endnote w:id="3">
    <w:p w14:paraId="1842E5B7" w14:textId="449338EF" w:rsidR="003B5500" w:rsidRDefault="003B5500">
      <w:pPr>
        <w:pStyle w:val="EndnoteText"/>
      </w:pPr>
      <w:r>
        <w:rPr>
          <w:rStyle w:val="EndnoteReference"/>
        </w:rPr>
        <w:endnoteRef/>
      </w:r>
      <w:r>
        <w:t xml:space="preserve"> This political objectives of this ‘centralist’ strategy were clearly laid out in a feature in the </w:t>
      </w:r>
      <w:r w:rsidRPr="00895C49">
        <w:rPr>
          <w:i/>
          <w:iCs/>
        </w:rPr>
        <w:t>Times,</w:t>
      </w:r>
      <w:r>
        <w:t xml:space="preserve"> 29 July 2021, by Iain Martin citing Michael Gove.</w:t>
      </w:r>
    </w:p>
  </w:endnote>
  <w:endnote w:id="4">
    <w:p w14:paraId="7ED5AB31" w14:textId="3635F7BB" w:rsidR="003B5500" w:rsidRDefault="003B5500">
      <w:pPr>
        <w:pStyle w:val="EndnoteText"/>
      </w:pPr>
      <w:r>
        <w:rPr>
          <w:rStyle w:val="EndnoteReference"/>
        </w:rPr>
        <w:endnoteRef/>
      </w:r>
      <w:r>
        <w:t xml:space="preserve"> </w:t>
      </w:r>
      <w:hyperlink r:id="rId2" w:history="1">
        <w:r w:rsidRPr="001749F0">
          <w:rPr>
            <w:rStyle w:val="Hyperlink"/>
          </w:rPr>
          <w:t>https://www.instituteforgovernment.org.uk/explainers/trade-freeports-free-zones</w:t>
        </w:r>
      </w:hyperlink>
      <w:r>
        <w:t xml:space="preserve"> (July 2021)</w:t>
      </w:r>
    </w:p>
  </w:endnote>
  <w:endnote w:id="5">
    <w:p w14:paraId="7D0CE00E" w14:textId="42351D30" w:rsidR="003B5500" w:rsidRDefault="003B5500">
      <w:pPr>
        <w:pStyle w:val="EndnoteText"/>
      </w:pPr>
      <w:r>
        <w:rPr>
          <w:rStyle w:val="EndnoteReference"/>
        </w:rPr>
        <w:endnoteRef/>
      </w:r>
      <w:r>
        <w:t xml:space="preserve"> Comparative figures for the years to 2017 are provided by ONS from OECD statistics to 2017 here </w:t>
      </w:r>
      <w:hyperlink r:id="rId3" w:history="1">
        <w:r w:rsidRPr="001749F0">
          <w:rPr>
            <w:rStyle w:val="Hyperlink"/>
          </w:rPr>
          <w:t>https://www.ons.gov.uk/economy/grossdomesticproductgdp/articles/aninternationalcomparisonofgrossfixedcapitalformation/2017-11-02</w:t>
        </w:r>
      </w:hyperlink>
      <w:r>
        <w:t xml:space="preserve">.  Valentina </w:t>
      </w:r>
      <w:proofErr w:type="spellStart"/>
      <w:r>
        <w:t>Romei</w:t>
      </w:r>
      <w:proofErr w:type="spellEnd"/>
      <w:r>
        <w:t xml:space="preserve">, </w:t>
      </w:r>
      <w:r w:rsidRPr="00E407A3">
        <w:rPr>
          <w:i/>
          <w:iCs/>
        </w:rPr>
        <w:t>Financial Times</w:t>
      </w:r>
      <w:r>
        <w:t xml:space="preserve"> 30 September 2020 provides comparative figures to 2019</w:t>
      </w:r>
    </w:p>
  </w:endnote>
  <w:endnote w:id="6">
    <w:p w14:paraId="5CE4EB79" w14:textId="71AD260E" w:rsidR="003B5500" w:rsidRDefault="003B5500">
      <w:pPr>
        <w:pStyle w:val="EndnoteText"/>
      </w:pPr>
      <w:r>
        <w:rPr>
          <w:rStyle w:val="EndnoteReference"/>
        </w:rPr>
        <w:endnoteRef/>
      </w:r>
      <w:r>
        <w:t xml:space="preserve"> </w:t>
      </w:r>
      <w:r w:rsidRPr="00AF4B79">
        <w:t>https://unctad.org/webflyer/world-investment-report-2021</w:t>
      </w:r>
      <w:r>
        <w:t>.</w:t>
      </w:r>
    </w:p>
  </w:endnote>
  <w:endnote w:id="7">
    <w:p w14:paraId="536A534A" w14:textId="50FA4698" w:rsidR="003B5500" w:rsidRDefault="003B5500">
      <w:pPr>
        <w:pStyle w:val="EndnoteText"/>
      </w:pPr>
      <w:r>
        <w:rPr>
          <w:rStyle w:val="EndnoteReference"/>
        </w:rPr>
        <w:endnoteRef/>
      </w:r>
      <w:r>
        <w:t xml:space="preserve"> March 2021</w:t>
      </w:r>
      <w:r>
        <w:t xml:space="preserve"> Memorandum of Understanding was analysed by the </w:t>
      </w:r>
      <w:r w:rsidRPr="00623871">
        <w:rPr>
          <w:i/>
          <w:iCs/>
        </w:rPr>
        <w:t>Financial Times</w:t>
      </w:r>
      <w:r>
        <w:t xml:space="preserve"> for 26 March as </w:t>
      </w:r>
      <w:proofErr w:type="gramStart"/>
      <w:r>
        <w:t>safeguarding  the</w:t>
      </w:r>
      <w:proofErr w:type="gramEnd"/>
      <w:r>
        <w:t xml:space="preserve"> privileges of the City of London and the British government to determine its own, potentially more favourable, regulations for attracting overseas investment. </w:t>
      </w:r>
    </w:p>
  </w:endnote>
  <w:endnote w:id="8">
    <w:p w14:paraId="6C7E6DC8" w14:textId="2E3BF2A1" w:rsidR="003B5500" w:rsidRDefault="003B5500">
      <w:pPr>
        <w:pStyle w:val="EndnoteText"/>
      </w:pPr>
      <w:r>
        <w:rPr>
          <w:rStyle w:val="EndnoteReference"/>
        </w:rPr>
        <w:endnoteRef/>
      </w:r>
      <w:r>
        <w:t xml:space="preserve"> </w:t>
      </w:r>
      <w:r w:rsidRPr="00DD1FBD">
        <w:rPr>
          <w:rFonts w:ascii="Gill Sans MT" w:hAnsi="Gill Sans MT"/>
          <w:sz w:val="18"/>
          <w:szCs w:val="18"/>
        </w:rPr>
        <w:t xml:space="preserve">OECD Report 2019, </w:t>
      </w:r>
      <w:r w:rsidRPr="00A71748">
        <w:rPr>
          <w:rFonts w:ascii="Gill Sans MT" w:hAnsi="Gill Sans MT"/>
          <w:i/>
          <w:iCs/>
          <w:sz w:val="18"/>
          <w:szCs w:val="18"/>
        </w:rPr>
        <w:t>Shareholder Value and Industrial Investment</w:t>
      </w:r>
      <w:r>
        <w:rPr>
          <w:rFonts w:ascii="Gill Sans MT" w:hAnsi="Gill Sans MT"/>
          <w:sz w:val="18"/>
          <w:szCs w:val="18"/>
        </w:rPr>
        <w:t>.  Andrew Haldane, former Chief Economist at the Bank of England, has repeatedly made these points – most recently in his sp</w:t>
      </w:r>
      <w:r w:rsidRPr="00DD1FBD">
        <w:rPr>
          <w:rFonts w:ascii="Gill Sans MT" w:hAnsi="Gill Sans MT"/>
          <w:sz w:val="18"/>
          <w:szCs w:val="18"/>
        </w:rPr>
        <w:t xml:space="preserve">eech at Bloomberg, reported in </w:t>
      </w:r>
      <w:r w:rsidRPr="00E407A3">
        <w:rPr>
          <w:rFonts w:ascii="Gill Sans MT" w:hAnsi="Gill Sans MT"/>
          <w:i/>
          <w:iCs/>
          <w:sz w:val="18"/>
          <w:szCs w:val="18"/>
        </w:rPr>
        <w:t>City AM</w:t>
      </w:r>
      <w:r w:rsidRPr="00DD1FBD">
        <w:rPr>
          <w:rFonts w:ascii="Gill Sans MT" w:hAnsi="Gill Sans MT"/>
          <w:sz w:val="18"/>
          <w:szCs w:val="18"/>
        </w:rPr>
        <w:t>, 24 February 2020</w:t>
      </w:r>
      <w:r>
        <w:rPr>
          <w:rFonts w:ascii="Gill Sans MT" w:hAnsi="Gill Sans MT"/>
          <w:sz w:val="18"/>
          <w:szCs w:val="18"/>
        </w:rPr>
        <w:t>.</w:t>
      </w:r>
    </w:p>
  </w:endnote>
  <w:endnote w:id="9">
    <w:p w14:paraId="75B50607" w14:textId="44691471" w:rsidR="003B5500" w:rsidRDefault="003B5500">
      <w:pPr>
        <w:pStyle w:val="EndnoteText"/>
      </w:pPr>
      <w:r>
        <w:rPr>
          <w:rStyle w:val="EndnoteReference"/>
        </w:rPr>
        <w:endnoteRef/>
      </w:r>
      <w:r>
        <w:t xml:space="preserve"> Credit Suisse, Wealth Report, 2021.Feature by Richard Waters, </w:t>
      </w:r>
      <w:r w:rsidRPr="00691462">
        <w:rPr>
          <w:i/>
          <w:iCs/>
        </w:rPr>
        <w:t>Financial Times</w:t>
      </w:r>
      <w:r>
        <w:t>, 16 July 2021, reports on the returns for the elite top ten percent of venture capital investment companies, patronised by the very wealthy, giving annual rates of between 15 and 20 percent in period where returns on post office savings were zero.</w:t>
      </w:r>
    </w:p>
  </w:endnote>
  <w:endnote w:id="10">
    <w:p w14:paraId="027C1AC2" w14:textId="5728D8F9" w:rsidR="003B5500" w:rsidRDefault="003B5500">
      <w:pPr>
        <w:pStyle w:val="EndnoteText"/>
      </w:pPr>
      <w:r>
        <w:rPr>
          <w:rStyle w:val="EndnoteReference"/>
        </w:rPr>
        <w:endnoteRef/>
      </w:r>
      <w:r>
        <w:t xml:space="preserve"> </w:t>
      </w:r>
      <w:r w:rsidRPr="005970C8">
        <w:t>https://publications.parliament.uk/pa/bills/cbill/58-02/0135/210135.pdf</w:t>
      </w:r>
    </w:p>
  </w:endnote>
  <w:endnote w:id="11">
    <w:p w14:paraId="69B1FB8B" w14:textId="50F7F70E" w:rsidR="003B5500" w:rsidRDefault="003B5500">
      <w:pPr>
        <w:pStyle w:val="EndnoteText"/>
      </w:pPr>
      <w:r>
        <w:rPr>
          <w:rStyle w:val="EndnoteReference"/>
        </w:rPr>
        <w:endnoteRef/>
      </w:r>
      <w:r>
        <w:t xml:space="preserve"> Clause 38 in the Green Paper.</w:t>
      </w:r>
    </w:p>
  </w:endnote>
  <w:endnote w:id="12">
    <w:p w14:paraId="0237447C" w14:textId="1307B160" w:rsidR="003B5500" w:rsidRDefault="003B5500">
      <w:pPr>
        <w:pStyle w:val="EndnoteText"/>
      </w:pPr>
      <w:r>
        <w:rPr>
          <w:rStyle w:val="EndnoteReference"/>
        </w:rPr>
        <w:endnoteRef/>
      </w:r>
      <w:r>
        <w:t xml:space="preserve"> Teis Hansen, ‘The Foundational Economy and Regional Development’, </w:t>
      </w:r>
      <w:r w:rsidRPr="00F170C0">
        <w:rPr>
          <w:i/>
          <w:iCs/>
        </w:rPr>
        <w:t>Regional Studies</w:t>
      </w:r>
      <w:r>
        <w:t xml:space="preserve"> online publication 9 July 2021 outlines the developmental potential.</w:t>
      </w:r>
    </w:p>
  </w:endnote>
  <w:endnote w:id="13">
    <w:p w14:paraId="59C82ADD" w14:textId="6B6DE198" w:rsidR="003B5500" w:rsidRDefault="003B5500">
      <w:pPr>
        <w:pStyle w:val="EndnoteText"/>
      </w:pPr>
      <w:r>
        <w:rPr>
          <w:rStyle w:val="EndnoteReference"/>
        </w:rPr>
        <w:endnoteRef/>
      </w:r>
      <w:r>
        <w:t xml:space="preserve"> Unite’s response is available here </w:t>
      </w:r>
      <w:hyperlink r:id="rId4" w:history="1">
        <w:r w:rsidRPr="001749F0">
          <w:rPr>
            <w:rStyle w:val="Hyperlink"/>
          </w:rPr>
          <w:t>https://www.politicshome.com/ugc-1/1/4/0/unite_submission_to_the_cabinet_offi.pdf</w:t>
        </w:r>
      </w:hyperlink>
      <w:r>
        <w:t xml:space="preserve">. </w:t>
      </w:r>
    </w:p>
  </w:endnote>
  <w:endnote w:id="14">
    <w:p w14:paraId="17587C41" w14:textId="24F41912" w:rsidR="003B5500" w:rsidRDefault="003B5500">
      <w:pPr>
        <w:pStyle w:val="EndnoteText"/>
      </w:pPr>
      <w:r>
        <w:rPr>
          <w:rStyle w:val="EndnoteReference"/>
        </w:rPr>
        <w:endnoteRef/>
      </w:r>
      <w:r>
        <w:t xml:space="preserve"> </w:t>
      </w:r>
      <w:r w:rsidRPr="005D408C">
        <w:t>https://www.politicshome.com/ugc-1/1/4/0/unite_submission_to_the_cabinet_offi.pdf</w:t>
      </w:r>
    </w:p>
  </w:endnote>
  <w:endnote w:id="15">
    <w:p w14:paraId="5922258A" w14:textId="0ED2BA61" w:rsidR="003B5500" w:rsidRDefault="003B5500">
      <w:pPr>
        <w:pStyle w:val="EndnoteText"/>
      </w:pPr>
      <w:r>
        <w:rPr>
          <w:rStyle w:val="EndnoteReference"/>
        </w:rPr>
        <w:endnoteRef/>
      </w:r>
      <w:r>
        <w:t xml:space="preserve"> </w:t>
      </w:r>
      <w:r w:rsidRPr="00C82309">
        <w:t>https://www.gov.scot/binaries/content/documents/govscot/publications/statistics/2020/12/business-enterprise-research-and-development-2019/documents/business-e</w:t>
      </w:r>
    </w:p>
  </w:endnote>
  <w:endnote w:id="16">
    <w:p w14:paraId="24781F11" w14:textId="4DEE5505" w:rsidR="003B5500" w:rsidRDefault="003B5500">
      <w:pPr>
        <w:pStyle w:val="EndnoteText"/>
      </w:pPr>
      <w:r>
        <w:rPr>
          <w:rStyle w:val="EndnoteReference"/>
        </w:rPr>
        <w:endnoteRef/>
      </w:r>
      <w:r>
        <w:t xml:space="preserve"> </w:t>
      </w:r>
      <w:r w:rsidRPr="00D44C56">
        <w:t>https://fraserofallander.org/fiscal-stimulus-plus-a-note-about-borrowing-powers/</w:t>
      </w:r>
    </w:p>
  </w:endnote>
  <w:endnote w:id="17">
    <w:p w14:paraId="176DDC99" w14:textId="5F6182D4" w:rsidR="003B5500" w:rsidRPr="00DD1FBD" w:rsidRDefault="003B5500" w:rsidP="00A71748">
      <w:pPr>
        <w:pStyle w:val="EndnoteText"/>
        <w:rPr>
          <w:rFonts w:ascii="Gill Sans MT" w:hAnsi="Gill Sans MT"/>
          <w:sz w:val="18"/>
          <w:szCs w:val="18"/>
        </w:rPr>
      </w:pPr>
      <w:r>
        <w:rPr>
          <w:rStyle w:val="EndnoteReference"/>
        </w:rPr>
        <w:endnoteRef/>
      </w:r>
      <w:r>
        <w:t xml:space="preserve"> </w:t>
      </w:r>
      <w:r w:rsidRPr="00DD1FBD">
        <w:rPr>
          <w:rFonts w:ascii="Gill Sans MT" w:hAnsi="Gill Sans MT"/>
          <w:sz w:val="18"/>
          <w:szCs w:val="18"/>
        </w:rPr>
        <w:t>Scottish National Statistics Q4 2019 for research and development at 1.63 per cent GDP; Royal Society, Research and Innovation in Scotland</w:t>
      </w:r>
      <w:r>
        <w:rPr>
          <w:rFonts w:ascii="Gill Sans MT" w:hAnsi="Gill Sans MT"/>
          <w:sz w:val="18"/>
          <w:szCs w:val="18"/>
        </w:rPr>
        <w:t xml:space="preserve"> with</w:t>
      </w:r>
      <w:r w:rsidRPr="00DD1FBD">
        <w:rPr>
          <w:rFonts w:ascii="Gill Sans MT" w:hAnsi="Gill Sans MT"/>
          <w:sz w:val="18"/>
          <w:szCs w:val="18"/>
        </w:rPr>
        <w:t xml:space="preserve"> 12,000 research staff in business and 15,000 in HE. </w:t>
      </w:r>
      <w:r w:rsidRPr="00DD1FBD">
        <w:rPr>
          <w:rFonts w:ascii="Gill Sans MT" w:hAnsi="Gill Sans MT"/>
          <w:sz w:val="18"/>
          <w:szCs w:val="18"/>
        </w:rPr>
        <w:t>https://royalsociety.org/~/media/policy/projects/investing-in-uk-r-and-d/regional/factsheets/research-innovation-scotland.pdf</w:t>
      </w:r>
    </w:p>
    <w:p w14:paraId="31DAE9CE" w14:textId="6CB49DEA" w:rsidR="003B5500" w:rsidRDefault="003B550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87380"/>
      <w:docPartObj>
        <w:docPartGallery w:val="Page Numbers (Bottom of Page)"/>
        <w:docPartUnique/>
      </w:docPartObj>
    </w:sdtPr>
    <w:sdtEndPr>
      <w:rPr>
        <w:noProof/>
      </w:rPr>
    </w:sdtEndPr>
    <w:sdtContent>
      <w:p w14:paraId="6E06CBBE" w14:textId="78B92FC8" w:rsidR="00132F0F" w:rsidRDefault="00132F0F">
        <w:pPr>
          <w:pStyle w:val="Footer"/>
          <w:jc w:val="center"/>
        </w:pPr>
        <w:r>
          <w:fldChar w:fldCharType="begin"/>
        </w:r>
        <w:r>
          <w:instrText xml:space="preserve"> PAGE   \* MERGEFORMAT </w:instrText>
        </w:r>
        <w:r>
          <w:fldChar w:fldCharType="separate"/>
        </w:r>
        <w:r w:rsidR="00542E85">
          <w:rPr>
            <w:noProof/>
          </w:rPr>
          <w:t>10</w:t>
        </w:r>
        <w:r>
          <w:rPr>
            <w:noProof/>
          </w:rPr>
          <w:fldChar w:fldCharType="end"/>
        </w:r>
      </w:p>
    </w:sdtContent>
  </w:sdt>
  <w:p w14:paraId="4BD296BD" w14:textId="77777777" w:rsidR="00132F0F" w:rsidRDefault="0013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84ED" w14:textId="77777777" w:rsidR="00505E27" w:rsidRDefault="00505E27" w:rsidP="00075679">
      <w:pPr>
        <w:spacing w:after="0" w:line="240" w:lineRule="auto"/>
      </w:pPr>
      <w:r>
        <w:separator/>
      </w:r>
    </w:p>
  </w:footnote>
  <w:footnote w:type="continuationSeparator" w:id="0">
    <w:p w14:paraId="24749E78" w14:textId="77777777" w:rsidR="00505E27" w:rsidRDefault="00505E27" w:rsidP="00075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332"/>
    <w:multiLevelType w:val="hybridMultilevel"/>
    <w:tmpl w:val="A5FE9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47327D"/>
    <w:multiLevelType w:val="hybridMultilevel"/>
    <w:tmpl w:val="497E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92"/>
    <w:rsid w:val="00005AC3"/>
    <w:rsid w:val="00006E34"/>
    <w:rsid w:val="000126C7"/>
    <w:rsid w:val="00042FA6"/>
    <w:rsid w:val="000450E7"/>
    <w:rsid w:val="00055BB4"/>
    <w:rsid w:val="00062664"/>
    <w:rsid w:val="00074577"/>
    <w:rsid w:val="00075679"/>
    <w:rsid w:val="00077EA7"/>
    <w:rsid w:val="000B1A84"/>
    <w:rsid w:val="000B25B6"/>
    <w:rsid w:val="000B6DA6"/>
    <w:rsid w:val="000C6DC2"/>
    <w:rsid w:val="000F1BBF"/>
    <w:rsid w:val="000F5103"/>
    <w:rsid w:val="0010326A"/>
    <w:rsid w:val="00117806"/>
    <w:rsid w:val="00125372"/>
    <w:rsid w:val="00126992"/>
    <w:rsid w:val="00132F0F"/>
    <w:rsid w:val="00175B11"/>
    <w:rsid w:val="00186CB9"/>
    <w:rsid w:val="001B3838"/>
    <w:rsid w:val="001C1976"/>
    <w:rsid w:val="001C1C85"/>
    <w:rsid w:val="001D6DB4"/>
    <w:rsid w:val="001E1411"/>
    <w:rsid w:val="001E3F52"/>
    <w:rsid w:val="001E43E6"/>
    <w:rsid w:val="001E6D8D"/>
    <w:rsid w:val="001F2FEB"/>
    <w:rsid w:val="001F7740"/>
    <w:rsid w:val="002052F2"/>
    <w:rsid w:val="00205838"/>
    <w:rsid w:val="00206630"/>
    <w:rsid w:val="0021642D"/>
    <w:rsid w:val="0023444D"/>
    <w:rsid w:val="0024749C"/>
    <w:rsid w:val="0025605C"/>
    <w:rsid w:val="002667CF"/>
    <w:rsid w:val="002670B6"/>
    <w:rsid w:val="002714DF"/>
    <w:rsid w:val="00271EDD"/>
    <w:rsid w:val="00283CA9"/>
    <w:rsid w:val="0029462A"/>
    <w:rsid w:val="002B10FA"/>
    <w:rsid w:val="002B1576"/>
    <w:rsid w:val="002E530F"/>
    <w:rsid w:val="002F0302"/>
    <w:rsid w:val="00305413"/>
    <w:rsid w:val="003255E9"/>
    <w:rsid w:val="00326F84"/>
    <w:rsid w:val="00353147"/>
    <w:rsid w:val="0035531D"/>
    <w:rsid w:val="00394C23"/>
    <w:rsid w:val="003A3717"/>
    <w:rsid w:val="003B5500"/>
    <w:rsid w:val="003D1A16"/>
    <w:rsid w:val="003D4C73"/>
    <w:rsid w:val="003E5302"/>
    <w:rsid w:val="0042141E"/>
    <w:rsid w:val="00436558"/>
    <w:rsid w:val="004422CF"/>
    <w:rsid w:val="004437ED"/>
    <w:rsid w:val="00486080"/>
    <w:rsid w:val="00494211"/>
    <w:rsid w:val="004B1ED9"/>
    <w:rsid w:val="00504E4A"/>
    <w:rsid w:val="00505E27"/>
    <w:rsid w:val="00506DF7"/>
    <w:rsid w:val="0051595E"/>
    <w:rsid w:val="00515DCF"/>
    <w:rsid w:val="00515FB2"/>
    <w:rsid w:val="0051700A"/>
    <w:rsid w:val="00520DC3"/>
    <w:rsid w:val="00542E85"/>
    <w:rsid w:val="00550310"/>
    <w:rsid w:val="00582B23"/>
    <w:rsid w:val="005902D5"/>
    <w:rsid w:val="005970C8"/>
    <w:rsid w:val="005A03CD"/>
    <w:rsid w:val="005A067F"/>
    <w:rsid w:val="005B3E55"/>
    <w:rsid w:val="005C29EE"/>
    <w:rsid w:val="005D3540"/>
    <w:rsid w:val="005D408C"/>
    <w:rsid w:val="00603AEE"/>
    <w:rsid w:val="006130CD"/>
    <w:rsid w:val="00623871"/>
    <w:rsid w:val="0063009A"/>
    <w:rsid w:val="00630DC0"/>
    <w:rsid w:val="00644E04"/>
    <w:rsid w:val="00651684"/>
    <w:rsid w:val="006766D9"/>
    <w:rsid w:val="00684BE3"/>
    <w:rsid w:val="00691462"/>
    <w:rsid w:val="006C4F74"/>
    <w:rsid w:val="006D3BEE"/>
    <w:rsid w:val="006E287D"/>
    <w:rsid w:val="006F762E"/>
    <w:rsid w:val="00702D80"/>
    <w:rsid w:val="00713EC8"/>
    <w:rsid w:val="007165DB"/>
    <w:rsid w:val="0074410A"/>
    <w:rsid w:val="00750A93"/>
    <w:rsid w:val="00763546"/>
    <w:rsid w:val="00792129"/>
    <w:rsid w:val="007C42BB"/>
    <w:rsid w:val="007D057D"/>
    <w:rsid w:val="007D174A"/>
    <w:rsid w:val="00804252"/>
    <w:rsid w:val="0081200A"/>
    <w:rsid w:val="00812906"/>
    <w:rsid w:val="00834F47"/>
    <w:rsid w:val="00840BCD"/>
    <w:rsid w:val="00847BAD"/>
    <w:rsid w:val="0086346B"/>
    <w:rsid w:val="00871A1B"/>
    <w:rsid w:val="00875155"/>
    <w:rsid w:val="008803A3"/>
    <w:rsid w:val="00895C49"/>
    <w:rsid w:val="008A6BAA"/>
    <w:rsid w:val="008B4AC3"/>
    <w:rsid w:val="008C6707"/>
    <w:rsid w:val="008E1CC2"/>
    <w:rsid w:val="008F669E"/>
    <w:rsid w:val="00911798"/>
    <w:rsid w:val="0095704D"/>
    <w:rsid w:val="00971B8D"/>
    <w:rsid w:val="009D3716"/>
    <w:rsid w:val="009F0344"/>
    <w:rsid w:val="009F63E4"/>
    <w:rsid w:val="00A00F69"/>
    <w:rsid w:val="00A12D53"/>
    <w:rsid w:val="00A205C7"/>
    <w:rsid w:val="00A66563"/>
    <w:rsid w:val="00A71748"/>
    <w:rsid w:val="00A85558"/>
    <w:rsid w:val="00A8660E"/>
    <w:rsid w:val="00A93D2E"/>
    <w:rsid w:val="00A96635"/>
    <w:rsid w:val="00AA352D"/>
    <w:rsid w:val="00AB1B89"/>
    <w:rsid w:val="00AB686A"/>
    <w:rsid w:val="00AF4B79"/>
    <w:rsid w:val="00B361E5"/>
    <w:rsid w:val="00B53EBF"/>
    <w:rsid w:val="00B67360"/>
    <w:rsid w:val="00B73777"/>
    <w:rsid w:val="00B81C02"/>
    <w:rsid w:val="00B90388"/>
    <w:rsid w:val="00BA449E"/>
    <w:rsid w:val="00BB21B5"/>
    <w:rsid w:val="00BC5C2D"/>
    <w:rsid w:val="00BF7F84"/>
    <w:rsid w:val="00C21B55"/>
    <w:rsid w:val="00C3350B"/>
    <w:rsid w:val="00C46802"/>
    <w:rsid w:val="00C6572C"/>
    <w:rsid w:val="00C65F6D"/>
    <w:rsid w:val="00C66207"/>
    <w:rsid w:val="00C74A17"/>
    <w:rsid w:val="00C81FFF"/>
    <w:rsid w:val="00C82309"/>
    <w:rsid w:val="00CB3013"/>
    <w:rsid w:val="00CD0AE8"/>
    <w:rsid w:val="00CD128A"/>
    <w:rsid w:val="00CE272A"/>
    <w:rsid w:val="00CE6492"/>
    <w:rsid w:val="00CE7F0F"/>
    <w:rsid w:val="00CF2A76"/>
    <w:rsid w:val="00CF2D48"/>
    <w:rsid w:val="00D17D62"/>
    <w:rsid w:val="00D21E09"/>
    <w:rsid w:val="00D31ED2"/>
    <w:rsid w:val="00D44C56"/>
    <w:rsid w:val="00D51EB2"/>
    <w:rsid w:val="00D6238B"/>
    <w:rsid w:val="00D63585"/>
    <w:rsid w:val="00D74969"/>
    <w:rsid w:val="00D85BD8"/>
    <w:rsid w:val="00D8671A"/>
    <w:rsid w:val="00DA2AE5"/>
    <w:rsid w:val="00DB4F97"/>
    <w:rsid w:val="00DC1ABB"/>
    <w:rsid w:val="00DD28FA"/>
    <w:rsid w:val="00DD397D"/>
    <w:rsid w:val="00DD50D8"/>
    <w:rsid w:val="00DD7A7E"/>
    <w:rsid w:val="00DE02A9"/>
    <w:rsid w:val="00E01350"/>
    <w:rsid w:val="00E03E03"/>
    <w:rsid w:val="00E16D0E"/>
    <w:rsid w:val="00E20514"/>
    <w:rsid w:val="00E24079"/>
    <w:rsid w:val="00E407A3"/>
    <w:rsid w:val="00E42A82"/>
    <w:rsid w:val="00E67860"/>
    <w:rsid w:val="00E75391"/>
    <w:rsid w:val="00E9068B"/>
    <w:rsid w:val="00E94D49"/>
    <w:rsid w:val="00EA2BE1"/>
    <w:rsid w:val="00EA36A0"/>
    <w:rsid w:val="00EE7495"/>
    <w:rsid w:val="00EF308A"/>
    <w:rsid w:val="00F0086B"/>
    <w:rsid w:val="00F05B50"/>
    <w:rsid w:val="00F14905"/>
    <w:rsid w:val="00F170C0"/>
    <w:rsid w:val="00F37EC5"/>
    <w:rsid w:val="00F668CF"/>
    <w:rsid w:val="00F76F8E"/>
    <w:rsid w:val="00F776FE"/>
    <w:rsid w:val="00FA6567"/>
    <w:rsid w:val="00FC54E8"/>
    <w:rsid w:val="00FD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2DC4"/>
  <w15:docId w15:val="{C76DC805-19CB-4C60-A3CE-90C82EA4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56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679"/>
    <w:rPr>
      <w:sz w:val="20"/>
      <w:szCs w:val="20"/>
    </w:rPr>
  </w:style>
  <w:style w:type="character" w:styleId="FootnoteReference">
    <w:name w:val="footnote reference"/>
    <w:basedOn w:val="DefaultParagraphFont"/>
    <w:uiPriority w:val="99"/>
    <w:semiHidden/>
    <w:unhideWhenUsed/>
    <w:rsid w:val="00075679"/>
    <w:rPr>
      <w:vertAlign w:val="superscript"/>
    </w:rPr>
  </w:style>
  <w:style w:type="character" w:styleId="Hyperlink">
    <w:name w:val="Hyperlink"/>
    <w:basedOn w:val="DefaultParagraphFont"/>
    <w:uiPriority w:val="99"/>
    <w:unhideWhenUsed/>
    <w:rsid w:val="00075679"/>
    <w:rPr>
      <w:color w:val="0563C1" w:themeColor="hyperlink"/>
      <w:u w:val="single"/>
    </w:rPr>
  </w:style>
  <w:style w:type="character" w:customStyle="1" w:styleId="UnresolvedMention1">
    <w:name w:val="Unresolved Mention1"/>
    <w:basedOn w:val="DefaultParagraphFont"/>
    <w:uiPriority w:val="99"/>
    <w:semiHidden/>
    <w:unhideWhenUsed/>
    <w:rsid w:val="00075679"/>
    <w:rPr>
      <w:color w:val="605E5C"/>
      <w:shd w:val="clear" w:color="auto" w:fill="E1DFDD"/>
    </w:rPr>
  </w:style>
  <w:style w:type="paragraph" w:styleId="ListParagraph">
    <w:name w:val="List Paragraph"/>
    <w:basedOn w:val="Normal"/>
    <w:uiPriority w:val="34"/>
    <w:qFormat/>
    <w:rsid w:val="00305413"/>
    <w:pPr>
      <w:ind w:left="720"/>
      <w:contextualSpacing/>
    </w:pPr>
  </w:style>
  <w:style w:type="paragraph" w:styleId="NoSpacing">
    <w:name w:val="No Spacing"/>
    <w:uiPriority w:val="1"/>
    <w:qFormat/>
    <w:rsid w:val="00F05B50"/>
    <w:pPr>
      <w:spacing w:after="0" w:line="240" w:lineRule="auto"/>
    </w:pPr>
  </w:style>
  <w:style w:type="paragraph" w:styleId="Header">
    <w:name w:val="header"/>
    <w:basedOn w:val="Normal"/>
    <w:link w:val="HeaderChar"/>
    <w:uiPriority w:val="99"/>
    <w:unhideWhenUsed/>
    <w:rsid w:val="00132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F0F"/>
  </w:style>
  <w:style w:type="paragraph" w:styleId="Footer">
    <w:name w:val="footer"/>
    <w:basedOn w:val="Normal"/>
    <w:link w:val="FooterChar"/>
    <w:uiPriority w:val="99"/>
    <w:unhideWhenUsed/>
    <w:rsid w:val="00132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0F"/>
  </w:style>
  <w:style w:type="paragraph" w:styleId="BalloonText">
    <w:name w:val="Balloon Text"/>
    <w:basedOn w:val="Normal"/>
    <w:link w:val="BalloonTextChar"/>
    <w:uiPriority w:val="99"/>
    <w:semiHidden/>
    <w:unhideWhenUsed/>
    <w:rsid w:val="009D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16"/>
    <w:rPr>
      <w:rFonts w:ascii="Tahoma" w:hAnsi="Tahoma" w:cs="Tahoma"/>
      <w:sz w:val="16"/>
      <w:szCs w:val="16"/>
    </w:rPr>
  </w:style>
  <w:style w:type="character" w:styleId="CommentReference">
    <w:name w:val="annotation reference"/>
    <w:basedOn w:val="DefaultParagraphFont"/>
    <w:uiPriority w:val="99"/>
    <w:semiHidden/>
    <w:unhideWhenUsed/>
    <w:rsid w:val="007165DB"/>
    <w:rPr>
      <w:sz w:val="16"/>
      <w:szCs w:val="16"/>
    </w:rPr>
  </w:style>
  <w:style w:type="paragraph" w:styleId="CommentText">
    <w:name w:val="annotation text"/>
    <w:basedOn w:val="Normal"/>
    <w:link w:val="CommentTextChar"/>
    <w:uiPriority w:val="99"/>
    <w:semiHidden/>
    <w:unhideWhenUsed/>
    <w:rsid w:val="007165DB"/>
    <w:pPr>
      <w:spacing w:line="240" w:lineRule="auto"/>
    </w:pPr>
    <w:rPr>
      <w:sz w:val="20"/>
      <w:szCs w:val="20"/>
    </w:rPr>
  </w:style>
  <w:style w:type="character" w:customStyle="1" w:styleId="CommentTextChar">
    <w:name w:val="Comment Text Char"/>
    <w:basedOn w:val="DefaultParagraphFont"/>
    <w:link w:val="CommentText"/>
    <w:uiPriority w:val="99"/>
    <w:semiHidden/>
    <w:rsid w:val="007165DB"/>
    <w:rPr>
      <w:sz w:val="20"/>
      <w:szCs w:val="20"/>
    </w:rPr>
  </w:style>
  <w:style w:type="paragraph" w:styleId="CommentSubject">
    <w:name w:val="annotation subject"/>
    <w:basedOn w:val="CommentText"/>
    <w:next w:val="CommentText"/>
    <w:link w:val="CommentSubjectChar"/>
    <w:uiPriority w:val="99"/>
    <w:semiHidden/>
    <w:unhideWhenUsed/>
    <w:rsid w:val="007165DB"/>
    <w:rPr>
      <w:b/>
      <w:bCs/>
    </w:rPr>
  </w:style>
  <w:style w:type="character" w:customStyle="1" w:styleId="CommentSubjectChar">
    <w:name w:val="Comment Subject Char"/>
    <w:basedOn w:val="CommentTextChar"/>
    <w:link w:val="CommentSubject"/>
    <w:uiPriority w:val="99"/>
    <w:semiHidden/>
    <w:rsid w:val="007165DB"/>
    <w:rPr>
      <w:b/>
      <w:bCs/>
      <w:sz w:val="20"/>
      <w:szCs w:val="20"/>
    </w:rPr>
  </w:style>
  <w:style w:type="paragraph" w:styleId="EndnoteText">
    <w:name w:val="endnote text"/>
    <w:basedOn w:val="Normal"/>
    <w:link w:val="EndnoteTextChar"/>
    <w:uiPriority w:val="99"/>
    <w:semiHidden/>
    <w:unhideWhenUsed/>
    <w:rsid w:val="003B5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500"/>
    <w:rPr>
      <w:sz w:val="20"/>
      <w:szCs w:val="20"/>
    </w:rPr>
  </w:style>
  <w:style w:type="character" w:styleId="EndnoteReference">
    <w:name w:val="endnote reference"/>
    <w:basedOn w:val="DefaultParagraphFont"/>
    <w:uiPriority w:val="99"/>
    <w:semiHidden/>
    <w:unhideWhenUsed/>
    <w:rsid w:val="003B5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ons.gov.uk/economy/grossdomesticproductgdp/articles/aninternationalcomparisonofgrossfixedcapitalformation/2017-11-02" TargetMode="External"/><Relationship Id="rId2" Type="http://schemas.openxmlformats.org/officeDocument/2006/relationships/hyperlink" Target="https://www.instituteforgovernment.org.uk/explainers/trade-freeports-free-zones" TargetMode="External"/><Relationship Id="rId1" Type="http://schemas.openxmlformats.org/officeDocument/2006/relationships/hyperlink" Target="https://assets.publishing.service.gov.uk/government/uploads/system/uploads/attachment_data/file/943946/Transforming_public_procurement.pdf" TargetMode="External"/><Relationship Id="rId4" Type="http://schemas.openxmlformats.org/officeDocument/2006/relationships/hyperlink" Target="https://www.politicshome.com/ugc-1/1/4/0/unite_submission_to_the_cabinet_off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26F6-7E5A-4202-8783-39BA0343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Foster</dc:creator>
  <cp:lastModifiedBy>Pauline Bryan</cp:lastModifiedBy>
  <cp:revision>2</cp:revision>
  <cp:lastPrinted>2021-08-09T09:50:00Z</cp:lastPrinted>
  <dcterms:created xsi:type="dcterms:W3CDTF">2021-12-16T12:48:00Z</dcterms:created>
  <dcterms:modified xsi:type="dcterms:W3CDTF">2021-12-16T12:48:00Z</dcterms:modified>
</cp:coreProperties>
</file>